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8"/>
        <w:tblW w:w="13985" w:type="dxa"/>
        <w:tblInd w:w="0" w:type="dxa"/>
        <w:tblLayout w:type="fixed"/>
        <w:tblCellMar>
          <w:top w:w="0" w:type="dxa"/>
          <w:left w:w="108" w:type="dxa"/>
          <w:bottom w:w="0" w:type="dxa"/>
          <w:right w:w="108" w:type="dxa"/>
        </w:tblCellMar>
      </w:tblPr>
      <w:tblGrid>
        <w:gridCol w:w="8553"/>
        <w:gridCol w:w="787"/>
        <w:gridCol w:w="4645"/>
      </w:tblGrid>
      <w:tr>
        <w:tblPrEx>
          <w:tblLayout w:type="fixed"/>
        </w:tblPrEx>
        <w:trPr>
          <w:cantSplit/>
          <w:trHeight w:val="90" w:hRule="atLeast"/>
        </w:trPr>
        <w:tc>
          <w:tcPr>
            <w:tcW w:w="8553" w:type="dxa"/>
            <w:vAlign w:val="center"/>
          </w:tcPr>
          <w:p>
            <w:pPr>
              <w:rPr>
                <w:rFonts w:hint="eastAsia"/>
                <w:sz w:val="28"/>
                <w:szCs w:val="28"/>
              </w:rPr>
            </w:pPr>
            <w:r>
              <w:rPr>
                <w:rFonts w:hint="eastAsia"/>
                <w:sz w:val="28"/>
                <w:szCs w:val="28"/>
              </w:rPr>
              <w:t>联系人：林添兴</w:t>
            </w:r>
          </w:p>
          <w:p>
            <w:pPr>
              <w:rPr>
                <w:rFonts w:hint="eastAsia"/>
                <w:sz w:val="28"/>
                <w:szCs w:val="28"/>
              </w:rPr>
            </w:pPr>
            <w:r>
              <w:rPr>
                <w:rFonts w:hint="eastAsia"/>
                <w:sz w:val="28"/>
                <w:szCs w:val="28"/>
              </w:rPr>
              <w:t>联系电话：13400639509</w:t>
            </w:r>
          </w:p>
          <w:p>
            <w:pPr>
              <w:adjustRightInd w:val="0"/>
              <w:spacing w:line="312" w:lineRule="atLeast"/>
              <w:jc w:val="both"/>
              <w:textAlignment w:val="baseline"/>
              <w:rPr>
                <w:b/>
                <w:bCs/>
                <w:sz w:val="32"/>
                <w:szCs w:val="32"/>
              </w:rPr>
            </w:pPr>
            <w:r>
              <w:rPr>
                <w:rFonts w:hint="eastAsia"/>
                <w:sz w:val="28"/>
                <w:szCs w:val="28"/>
              </w:rPr>
              <w:t>邮箱：</w:t>
            </w:r>
            <w:r>
              <w:fldChar w:fldCharType="begin"/>
            </w:r>
            <w:r>
              <w:instrText xml:space="preserve"> HYPERLINK "mailto:344495050@qq.com" </w:instrText>
            </w:r>
            <w:r>
              <w:fldChar w:fldCharType="separate"/>
            </w:r>
            <w:r>
              <w:rPr>
                <w:rStyle w:val="22"/>
                <w:rFonts w:hint="eastAsia"/>
                <w:sz w:val="28"/>
                <w:szCs w:val="28"/>
              </w:rPr>
              <w:t>344495050@qq.com</w:t>
            </w:r>
            <w:r>
              <w:rPr>
                <w:rStyle w:val="22"/>
                <w:rFonts w:hint="eastAsia"/>
                <w:sz w:val="28"/>
                <w:szCs w:val="28"/>
              </w:rPr>
              <w:fldChar w:fldCharType="end"/>
            </w:r>
          </w:p>
          <w:p>
            <w:pPr>
              <w:ind w:firstLine="799" w:firstLineChars="199"/>
              <w:rPr>
                <w:rFonts w:hint="eastAsia"/>
                <w:b/>
                <w:bCs/>
                <w:sz w:val="40"/>
                <w:szCs w:val="40"/>
              </w:rPr>
            </w:pPr>
          </w:p>
          <w:p>
            <w:pPr>
              <w:ind w:firstLine="799" w:firstLineChars="199"/>
              <w:rPr>
                <w:b/>
                <w:bCs/>
                <w:sz w:val="40"/>
                <w:szCs w:val="40"/>
              </w:rPr>
            </w:pPr>
            <w:r>
              <w:rPr>
                <w:rFonts w:hint="eastAsia"/>
                <w:b/>
                <w:bCs/>
                <w:sz w:val="40"/>
                <w:szCs w:val="40"/>
              </w:rPr>
              <w:t>福建省工程建设地方标准</w:t>
            </w:r>
          </w:p>
          <w:p/>
          <w:p>
            <w:pPr>
              <w:rPr>
                <w:b/>
                <w:bCs/>
                <w:sz w:val="32"/>
                <w:szCs w:val="32"/>
              </w:rPr>
            </w:pPr>
          </w:p>
          <w:p>
            <w:pPr>
              <w:jc w:val="right"/>
            </w:pPr>
            <w:bookmarkStart w:id="0" w:name="_Hlk518993094"/>
            <w:bookmarkEnd w:id="0"/>
            <w:r>
              <w:drawing>
                <wp:anchor distT="0" distB="0" distL="114300" distR="114300" simplePos="0" relativeHeight="251660288" behindDoc="1" locked="0" layoutInCell="1" allowOverlap="1">
                  <wp:simplePos x="0" y="0"/>
                  <wp:positionH relativeFrom="column">
                    <wp:posOffset>3528060</wp:posOffset>
                  </wp:positionH>
                  <wp:positionV relativeFrom="paragraph">
                    <wp:posOffset>-1515110</wp:posOffset>
                  </wp:positionV>
                  <wp:extent cx="1819275" cy="1285875"/>
                  <wp:effectExtent l="0" t="0" r="9525" b="9525"/>
                  <wp:wrapTight wrapText="bothSides">
                    <wp:wrapPolygon>
                      <wp:start x="0" y="0"/>
                      <wp:lineTo x="0" y="21440"/>
                      <wp:lineTo x="21487" y="21440"/>
                      <wp:lineTo x="21487"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1819275" cy="1285875"/>
                          </a:xfrm>
                          <a:prstGeom prst="rect">
                            <a:avLst/>
                          </a:prstGeom>
                          <a:noFill/>
                          <a:ln>
                            <a:noFill/>
                          </a:ln>
                        </pic:spPr>
                      </pic:pic>
                    </a:graphicData>
                  </a:graphic>
                </wp:anchor>
              </w:drawing>
            </w:r>
            <w:r>
              <w:rPr>
                <w:rFonts w:hint="eastAsia"/>
                <w:b/>
                <w:bCs/>
                <w:sz w:val="32"/>
                <w:szCs w:val="32"/>
              </w:rPr>
              <w:t>工程建设地方标准编号：DBJ/T XX-XX-2021</w:t>
            </w:r>
          </w:p>
        </w:tc>
        <w:tc>
          <w:tcPr>
            <w:tcW w:w="787" w:type="dxa"/>
            <w:vAlign w:val="center"/>
          </w:tcPr>
          <w:p>
            <w:pPr>
              <w:adjustRightInd w:val="0"/>
              <w:spacing w:line="312" w:lineRule="atLeast"/>
              <w:jc w:val="left"/>
              <w:textAlignment w:val="baseline"/>
              <w:rPr>
                <w:rFonts w:eastAsia="黑体"/>
                <w:b/>
                <w:sz w:val="36"/>
                <w:szCs w:val="36"/>
              </w:rPr>
            </w:pPr>
          </w:p>
        </w:tc>
        <w:tc>
          <w:tcPr>
            <w:tcW w:w="4645" w:type="dxa"/>
            <w:vAlign w:val="center"/>
          </w:tcPr>
          <w:p>
            <w:pPr>
              <w:widowControl/>
              <w:jc w:val="left"/>
              <w:rPr>
                <w:sz w:val="20"/>
                <w:szCs w:val="24"/>
              </w:rPr>
            </w:pPr>
          </w:p>
        </w:tc>
      </w:tr>
      <w:tr>
        <w:tblPrEx>
          <w:tblLayout w:type="fixed"/>
          <w:tblCellMar>
            <w:top w:w="0" w:type="dxa"/>
            <w:left w:w="108" w:type="dxa"/>
            <w:bottom w:w="0" w:type="dxa"/>
            <w:right w:w="108" w:type="dxa"/>
          </w:tblCellMar>
        </w:tblPrEx>
        <w:trPr>
          <w:cantSplit/>
          <w:trHeight w:val="426" w:hRule="atLeast"/>
        </w:trPr>
        <w:tc>
          <w:tcPr>
            <w:tcW w:w="8553" w:type="dxa"/>
          </w:tcPr>
          <w:p>
            <w:pPr>
              <w:adjustRightInd w:val="0"/>
              <w:spacing w:line="360" w:lineRule="auto"/>
              <w:ind w:firstLine="420"/>
              <w:jc w:val="right"/>
              <w:textAlignment w:val="baseline"/>
              <w:rPr>
                <w:rFonts w:eastAsia="等线"/>
                <w:b/>
              </w:rPr>
            </w:pPr>
            <w:r>
              <w:rPr>
                <w:rFonts w:hint="eastAsia"/>
                <w:b/>
                <w:bCs/>
                <w:sz w:val="32"/>
                <w:szCs w:val="32"/>
              </w:rPr>
              <w:t>住房和城乡建设部备案号：J XXXX-2021</w:t>
            </w:r>
          </w:p>
        </w:tc>
        <w:tc>
          <w:tcPr>
            <w:tcW w:w="787" w:type="dxa"/>
            <w:vAlign w:val="center"/>
          </w:tcPr>
          <w:p>
            <w:pPr>
              <w:widowControl/>
              <w:jc w:val="left"/>
              <w:rPr>
                <w:rFonts w:eastAsia="黑体" w:cs="Courier New"/>
                <w:b/>
                <w:sz w:val="72"/>
              </w:rPr>
            </w:pPr>
          </w:p>
        </w:tc>
        <w:tc>
          <w:tcPr>
            <w:tcW w:w="4645" w:type="dxa"/>
            <w:vAlign w:val="center"/>
          </w:tcPr>
          <w:p>
            <w:pPr>
              <w:widowControl/>
              <w:jc w:val="left"/>
              <w:rPr>
                <w:rFonts w:eastAsia="黑体" w:cs="Courier New"/>
                <w:b/>
                <w:sz w:val="72"/>
              </w:rPr>
            </w:pPr>
          </w:p>
        </w:tc>
      </w:tr>
    </w:tbl>
    <w:p>
      <w:pPr>
        <w:rPr>
          <w:b/>
          <w:bCs/>
          <w:sz w:val="32"/>
          <w:szCs w:val="24"/>
          <w:u w:val="single"/>
          <w:lang w:val="de-DE"/>
        </w:rPr>
      </w:pPr>
    </w:p>
    <w:p>
      <w:pPr>
        <w:jc w:val="center"/>
        <w:rPr>
          <w:b/>
          <w:sz w:val="48"/>
          <w:szCs w:val="48"/>
          <w:lang w:val="de-DE"/>
        </w:rPr>
      </w:pPr>
    </w:p>
    <w:p>
      <w:pPr>
        <w:jc w:val="center"/>
        <w:rPr>
          <w:b/>
          <w:sz w:val="48"/>
          <w:szCs w:val="48"/>
        </w:rPr>
      </w:pPr>
    </w:p>
    <w:p>
      <w:pPr>
        <w:jc w:val="center"/>
        <w:rPr>
          <w:rFonts w:hint="eastAsia" w:eastAsia="黑体"/>
          <w:sz w:val="36"/>
          <w:szCs w:val="36"/>
          <w:lang w:val="en-US" w:eastAsia="zh-CN"/>
        </w:rPr>
      </w:pPr>
      <w:r>
        <w:rPr>
          <w:rFonts w:hint="eastAsia" w:ascii="黑体" w:hAnsi="黑体" w:eastAsia="黑体" w:cs="黑体"/>
          <w:sz w:val="48"/>
          <w:szCs w:val="48"/>
        </w:rPr>
        <w:t>玻璃和陶瓷再生细骨料应用技术</w:t>
      </w:r>
      <w:r>
        <w:rPr>
          <w:rFonts w:hint="eastAsia" w:ascii="黑体" w:hAnsi="黑体" w:eastAsia="黑体" w:cs="黑体"/>
          <w:sz w:val="48"/>
          <w:szCs w:val="48"/>
          <w:lang w:eastAsia="zh-CN"/>
        </w:rPr>
        <w:t>标准</w:t>
      </w:r>
    </w:p>
    <w:p>
      <w:pPr>
        <w:widowControl/>
        <w:jc w:val="center"/>
        <w:rPr>
          <w:b/>
          <w:spacing w:val="-1"/>
          <w:sz w:val="28"/>
          <w:szCs w:val="28"/>
        </w:rPr>
      </w:pPr>
      <w:r>
        <w:rPr>
          <w:b/>
          <w:spacing w:val="-1"/>
          <w:sz w:val="28"/>
          <w:szCs w:val="28"/>
        </w:rPr>
        <w:t xml:space="preserve">Technical </w:t>
      </w:r>
      <w:r>
        <w:rPr>
          <w:rFonts w:hint="eastAsia"/>
          <w:b/>
          <w:spacing w:val="-1"/>
          <w:sz w:val="28"/>
          <w:szCs w:val="28"/>
        </w:rPr>
        <w:t>specification for</w:t>
      </w:r>
      <w:r>
        <w:rPr>
          <w:b/>
          <w:spacing w:val="-1"/>
          <w:sz w:val="28"/>
          <w:szCs w:val="28"/>
        </w:rPr>
        <w:t xml:space="preserve"> application of </w:t>
      </w:r>
      <w:r>
        <w:rPr>
          <w:rFonts w:hint="eastAsia"/>
          <w:b/>
          <w:spacing w:val="-1"/>
          <w:sz w:val="28"/>
          <w:szCs w:val="28"/>
        </w:rPr>
        <w:t xml:space="preserve">glass and ceramics </w:t>
      </w:r>
      <w:r>
        <w:rPr>
          <w:b/>
          <w:spacing w:val="-1"/>
          <w:sz w:val="28"/>
          <w:szCs w:val="28"/>
        </w:rPr>
        <w:t xml:space="preserve">recycled </w:t>
      </w:r>
      <w:r>
        <w:rPr>
          <w:rFonts w:hint="eastAsia"/>
          <w:b/>
          <w:spacing w:val="-1"/>
          <w:sz w:val="28"/>
          <w:szCs w:val="28"/>
        </w:rPr>
        <w:t xml:space="preserve"> fine</w:t>
      </w:r>
      <w:r>
        <w:rPr>
          <w:b/>
          <w:spacing w:val="-1"/>
          <w:sz w:val="28"/>
          <w:szCs w:val="28"/>
        </w:rPr>
        <w:t>aggregate</w:t>
      </w:r>
    </w:p>
    <w:p>
      <w:pPr>
        <w:spacing w:line="300" w:lineRule="auto"/>
        <w:jc w:val="center"/>
        <w:rPr>
          <w:rFonts w:cs="宋体"/>
          <w:b/>
          <w:bCs/>
          <w:sz w:val="32"/>
          <w:szCs w:val="32"/>
        </w:rPr>
      </w:pPr>
      <w:r>
        <w:rPr>
          <w:rFonts w:hint="eastAsia" w:cs="宋体"/>
          <w:b/>
          <w:bCs/>
          <w:sz w:val="32"/>
          <w:szCs w:val="32"/>
        </w:rPr>
        <w:t>(征求意见稿)</w:t>
      </w:r>
    </w:p>
    <w:p>
      <w:pPr>
        <w:spacing w:line="300" w:lineRule="auto"/>
        <w:rPr>
          <w:rFonts w:cs="宋体"/>
          <w:b/>
          <w:bCs/>
          <w:sz w:val="32"/>
          <w:szCs w:val="32"/>
        </w:rPr>
      </w:pPr>
    </w:p>
    <w:p>
      <w:pPr>
        <w:spacing w:line="300" w:lineRule="auto"/>
        <w:rPr>
          <w:rFonts w:cs="宋体"/>
          <w:b/>
          <w:bCs/>
          <w:sz w:val="32"/>
          <w:szCs w:val="32"/>
        </w:rPr>
      </w:pPr>
    </w:p>
    <w:p>
      <w:pPr>
        <w:rPr>
          <w:rFonts w:ascii="黑体" w:hAnsi="黑体" w:eastAsia="黑体" w:cs="宋体"/>
          <w:bCs/>
          <w:sz w:val="28"/>
        </w:rPr>
      </w:pPr>
      <w:r>
        <w:rPr>
          <w:rFonts w:hint="eastAsia" w:ascii="黑体" w:hAnsi="黑体" w:eastAsia="黑体" w:cs="宋体"/>
          <w:bCs/>
          <w:sz w:val="28"/>
        </w:rPr>
        <w:t>2</w:t>
      </w:r>
      <w:r>
        <w:rPr>
          <w:rFonts w:ascii="黑体" w:hAnsi="黑体" w:eastAsia="黑体" w:cs="宋体"/>
          <w:bCs/>
          <w:sz w:val="28"/>
        </w:rPr>
        <w:t>0××</w:t>
      </w:r>
      <w:r>
        <w:rPr>
          <w:rFonts w:hint="eastAsia" w:ascii="黑体" w:hAnsi="黑体" w:eastAsia="黑体" w:cs="宋体"/>
          <w:bCs/>
          <w:sz w:val="28"/>
        </w:rPr>
        <w:t>-</w:t>
      </w:r>
      <w:r>
        <w:rPr>
          <w:rFonts w:ascii="黑体" w:hAnsi="黑体" w:eastAsia="黑体" w:cs="宋体"/>
          <w:bCs/>
          <w:sz w:val="28"/>
        </w:rPr>
        <w:t>××-××</w:t>
      </w:r>
      <w:r>
        <w:rPr>
          <w:rFonts w:hint="eastAsia" w:ascii="黑体" w:hAnsi="黑体" w:eastAsia="黑体" w:cs="宋体"/>
          <w:bCs/>
          <w:sz w:val="28"/>
        </w:rPr>
        <w:t>发布                   2</w:t>
      </w:r>
      <w:r>
        <w:rPr>
          <w:rFonts w:ascii="黑体" w:hAnsi="黑体" w:eastAsia="黑体" w:cs="宋体"/>
          <w:bCs/>
          <w:sz w:val="28"/>
        </w:rPr>
        <w:t>0××</w:t>
      </w:r>
      <w:r>
        <w:rPr>
          <w:rFonts w:hint="eastAsia" w:ascii="黑体" w:hAnsi="黑体" w:eastAsia="黑体" w:cs="宋体"/>
          <w:bCs/>
          <w:sz w:val="28"/>
        </w:rPr>
        <w:t>-</w:t>
      </w:r>
      <w:r>
        <w:rPr>
          <w:rFonts w:ascii="黑体" w:hAnsi="黑体" w:eastAsia="黑体" w:cs="宋体"/>
          <w:bCs/>
          <w:sz w:val="28"/>
        </w:rPr>
        <w:t>××-××</w:t>
      </w:r>
      <w:r>
        <w:rPr>
          <w:rFonts w:hint="eastAsia" w:ascii="黑体" w:hAnsi="黑体" w:eastAsia="黑体" w:cs="宋体"/>
          <w:bCs/>
          <w:sz w:val="28"/>
        </w:rPr>
        <w:t>实施</w:t>
      </w:r>
    </w:p>
    <w:p>
      <w:pPr>
        <w:rPr>
          <w:rFonts w:cs="宋体"/>
          <w:bCs/>
          <w:sz w:val="32"/>
          <w:szCs w:val="32"/>
        </w:rPr>
      </w:pPr>
      <w:r>
        <w:rPr>
          <w:rFonts w:eastAsia="Times New Roman"/>
          <w:sz w:val="2"/>
          <w:szCs w:val="2"/>
        </w:rPr>
        <mc:AlternateContent>
          <mc:Choice Requires="wpg">
            <w:drawing>
              <wp:inline distT="0" distB="0" distL="0" distR="0">
                <wp:extent cx="5274310" cy="8890"/>
                <wp:effectExtent l="7620" t="11430" r="13970" b="0"/>
                <wp:docPr id="2" name="Group 4"/>
                <wp:cNvGraphicFramePr/>
                <a:graphic xmlns:a="http://schemas.openxmlformats.org/drawingml/2006/main">
                  <a:graphicData uri="http://schemas.microsoft.com/office/word/2010/wordprocessingGroup">
                    <wpg:wgp>
                      <wpg:cNvGrpSpPr/>
                      <wpg:grpSpPr>
                        <a:xfrm>
                          <a:off x="0" y="0"/>
                          <a:ext cx="5274310" cy="8890"/>
                          <a:chOff x="0" y="0"/>
                          <a:chExt cx="86" cy="152032"/>
                        </a:xfrm>
                      </wpg:grpSpPr>
                      <wpg:grpSp>
                        <wpg:cNvPr id="3" name="Group 5"/>
                        <wpg:cNvGrpSpPr/>
                        <wpg:grpSpPr>
                          <a:xfrm>
                            <a:off x="0" y="0"/>
                            <a:ext cx="86" cy="0"/>
                            <a:chOff x="8" y="8"/>
                            <a:chExt cx="8684" cy="2"/>
                          </a:xfrm>
                        </wpg:grpSpPr>
                        <wps:wsp>
                          <wps:cNvPr id="4" name="Freeform 6"/>
                          <wps:cNvSpPr>
                            <a:spLocks noChangeArrowheads="1"/>
                          </wps:cNvSpPr>
                          <wps:spPr bwMode="auto">
                            <a:xfrm>
                              <a:off x="8" y="8"/>
                              <a:ext cx="8684" cy="2"/>
                            </a:xfrm>
                            <a:custGeom>
                              <a:avLst/>
                              <a:gdLst>
                                <a:gd name="T0" fmla="*/ 0 w 8684"/>
                                <a:gd name="T1" fmla="*/ 0 h 1"/>
                                <a:gd name="T2" fmla="*/ 8684 w 8684"/>
                                <a:gd name="T3" fmla="*/ 0 h 1"/>
                              </a:gdLst>
                              <a:ahLst/>
                              <a:cxnLst>
                                <a:cxn ang="0">
                                  <a:pos x="T0" y="T1"/>
                                </a:cxn>
                                <a:cxn ang="0">
                                  <a:pos x="T2" y="T3"/>
                                </a:cxn>
                              </a:cxnLst>
                              <a:rect l="0" t="0" r="r" b="b"/>
                              <a:pathLst>
                                <a:path w="8684" h="1">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4" o:spid="_x0000_s1026" o:spt="203" style="height:0.7pt;width:415.3pt;" coordsize="86,152032"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">
                <o:lock v:ext="edit" aspectratio="f"/>
                <v:group id="Group 5" o:spid="_x0000_s1026" o:spt="203" style="position:absolute;left:0;top:0;height:0;width:86;" coordorigin="8,8" coordsize="8684,2" o:gfxdata="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Fd0lL0AAADaAAAADwAAAAAAAAABACAAAAAiAAAAZHJzL2Rvd25yZXYueG1s&#10;UEsBAhQAFAAAAAgAh07iQDMvBZ47AAAAOQAAABUAAAAAAAAAAQAgAAAADAEAAGRycy9ncm91cHNo&#10;YXBleG1sLnhtbFBLBQYAAAAABgAGAGABAADJAwAAAAA=&#10;">
                  <o:lock v:ext="edit" aspectratio="f"/>
                  <v:shape id="Freeform 6" o:spid="_x0000_s1026" o:spt="100" style="position:absolute;left:8;top:8;height:2;width:8684;" filled="f" stroked="t" coordsize="8684,1" o:gfxdata="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MFVAA7gAAADaAAAA&#10;DwAAAAAAAAABACAAAAAiAAAAZHJzL2Rvd25yZXYueG1sUEsBAhQAFAAAAAgAh07iQDMvBZ47AAAA&#10;OQAAABAAAAAAAAAAAQAgAAAABwEAAGRycy9zaGFwZXhtbC54bWxQSwUGAAAAAAYABgBbAQAAsQMA&#10;AAAA&#10;" path="m0,0l8684,0e">
                    <v:path o:connectlocs="0,0;8684,0" o:connectangles="0,0"/>
                    <v:fill on="f" focussize="0,0"/>
                    <v:stroke color="#000000" joinstyle="round"/>
                    <v:imagedata o:title=""/>
                    <o:lock v:ext="edit" aspectratio="f"/>
                  </v:shape>
                </v:group>
                <w10:wrap type="none"/>
                <w10:anchorlock/>
              </v:group>
            </w:pict>
          </mc:Fallback>
        </mc:AlternateContent>
      </w:r>
    </w:p>
    <w:p>
      <w:pPr>
        <w:jc w:val="center"/>
        <w:rPr>
          <w:rFonts w:ascii="黑体" w:hAnsi="黑体" w:eastAsia="黑体" w:cs="宋体"/>
          <w:spacing w:val="-1"/>
          <w:sz w:val="24"/>
        </w:rPr>
      </w:pPr>
      <w:r>
        <w:rPr>
          <w:rFonts w:hint="eastAsia" w:ascii="黑体" w:hAnsi="黑体" w:eastAsia="黑体" w:cs="宋体"/>
          <w:spacing w:val="-1"/>
          <w:sz w:val="32"/>
        </w:rPr>
        <w:t xml:space="preserve">福建省住房和城乡建设厅 </w:t>
      </w:r>
      <w:r>
        <w:rPr>
          <w:rFonts w:hint="eastAsia" w:ascii="黑体" w:hAnsi="黑体" w:eastAsia="黑体" w:cs="宋体"/>
          <w:spacing w:val="-1"/>
          <w:sz w:val="24"/>
        </w:rPr>
        <w:t>发 布</w:t>
      </w:r>
    </w:p>
    <w:p>
      <w:pPr>
        <w:spacing w:line="480" w:lineRule="auto"/>
        <w:jc w:val="center"/>
        <w:rPr>
          <w:rFonts w:hint="eastAsia" w:ascii="黑体" w:hAnsi="黑体" w:eastAsia="黑体" w:cs="宋体"/>
          <w:b/>
          <w:bCs/>
          <w:spacing w:val="-1"/>
          <w:sz w:val="40"/>
          <w:szCs w:val="36"/>
        </w:rPr>
      </w:pPr>
      <w:bookmarkStart w:id="1" w:name="_Hlk70319701"/>
    </w:p>
    <w:p>
      <w:pPr>
        <w:spacing w:line="480" w:lineRule="auto"/>
        <w:jc w:val="center"/>
        <w:rPr>
          <w:rFonts w:ascii="黑体" w:hAnsi="黑体" w:eastAsia="黑体" w:cs="宋体"/>
          <w:b/>
          <w:bCs/>
          <w:spacing w:val="-1"/>
          <w:sz w:val="40"/>
          <w:szCs w:val="36"/>
        </w:rPr>
      </w:pPr>
      <w:bookmarkStart w:id="43" w:name="_GoBack"/>
      <w:bookmarkEnd w:id="43"/>
      <w:r>
        <w:rPr>
          <w:rFonts w:hint="eastAsia" w:ascii="黑体" w:hAnsi="黑体" w:eastAsia="黑体" w:cs="宋体"/>
          <w:b/>
          <w:bCs/>
          <w:spacing w:val="-1"/>
          <w:sz w:val="40"/>
          <w:szCs w:val="36"/>
        </w:rPr>
        <w:t>目 次</w:t>
      </w:r>
    </w:p>
    <w:p>
      <w:pPr>
        <w:spacing w:line="360" w:lineRule="auto"/>
        <w:jc w:val="center"/>
        <w:rPr>
          <w:rFonts w:ascii="黑体" w:hAnsi="黑体" w:eastAsia="黑体" w:cs="宋体"/>
          <w:b/>
          <w:bCs/>
          <w:spacing w:val="-1"/>
          <w:sz w:val="40"/>
          <w:szCs w:val="36"/>
        </w:rPr>
      </w:pPr>
    </w:p>
    <w:p>
      <w:pPr>
        <w:pStyle w:val="13"/>
        <w:spacing w:line="360" w:lineRule="auto"/>
        <w:rPr>
          <w:rFonts w:asciiTheme="minorHAnsi" w:hAnsiTheme="minorHAnsi" w:eastAsiaTheme="minorEastAsia"/>
          <w:bCs/>
        </w:rPr>
      </w:pPr>
      <w:r>
        <w:rPr>
          <w:rFonts w:hint="eastAsia" w:ascii="黑体" w:hAnsi="黑体" w:eastAsia="黑体" w:cs="黑体"/>
          <w:spacing w:val="-1"/>
          <w:sz w:val="24"/>
          <w:szCs w:val="24"/>
        </w:rPr>
        <w:fldChar w:fldCharType="begin"/>
      </w:r>
      <w:r>
        <w:rPr>
          <w:rFonts w:hint="eastAsia" w:ascii="黑体" w:hAnsi="黑体" w:eastAsia="黑体" w:cs="黑体"/>
          <w:spacing w:val="-1"/>
          <w:sz w:val="24"/>
          <w:szCs w:val="24"/>
        </w:rPr>
        <w:instrText xml:space="preserve">TOC \o "1-2" \h \u </w:instrText>
      </w:r>
      <w:r>
        <w:rPr>
          <w:rFonts w:hint="eastAsia" w:ascii="黑体" w:hAnsi="黑体" w:eastAsia="黑体" w:cs="黑体"/>
          <w:spacing w:val="-1"/>
          <w:sz w:val="24"/>
          <w:szCs w:val="24"/>
        </w:rPr>
        <w:fldChar w:fldCharType="separate"/>
      </w:r>
      <w:r>
        <w:fldChar w:fldCharType="begin"/>
      </w:r>
      <w:r>
        <w:instrText xml:space="preserve"> HYPERLINK \l "_Toc29547156" </w:instrText>
      </w:r>
      <w:r>
        <w:fldChar w:fldCharType="separate"/>
      </w:r>
      <w:r>
        <w:rPr>
          <w:rStyle w:val="22"/>
          <w:rFonts w:cs="Times New Roman"/>
          <w:bCs/>
          <w:color w:val="auto"/>
        </w:rPr>
        <w:t>1</w:t>
      </w:r>
      <w:r>
        <w:rPr>
          <w:rStyle w:val="22"/>
          <w:bCs/>
          <w:color w:val="auto"/>
        </w:rPr>
        <w:t xml:space="preserve"> 总  则</w:t>
      </w:r>
      <w:r>
        <w:rPr>
          <w:bCs/>
        </w:rPr>
        <w:tab/>
      </w:r>
      <w:r>
        <w:rPr>
          <w:bCs/>
        </w:rPr>
        <w:fldChar w:fldCharType="begin"/>
      </w:r>
      <w:r>
        <w:rPr>
          <w:bCs/>
        </w:rPr>
        <w:instrText xml:space="preserve"> PAGEREF _Toc29547156 \h </w:instrText>
      </w:r>
      <w:r>
        <w:rPr>
          <w:bCs/>
        </w:rPr>
        <w:fldChar w:fldCharType="separate"/>
      </w:r>
      <w:r>
        <w:rPr>
          <w:bCs/>
        </w:rPr>
        <w:t>1</w:t>
      </w:r>
      <w:r>
        <w:rPr>
          <w:bCs/>
        </w:rPr>
        <w:fldChar w:fldCharType="end"/>
      </w:r>
      <w:r>
        <w:rPr>
          <w:bCs/>
        </w:rPr>
        <w:fldChar w:fldCharType="end"/>
      </w:r>
    </w:p>
    <w:p>
      <w:pPr>
        <w:pStyle w:val="13"/>
        <w:spacing w:line="360" w:lineRule="auto"/>
        <w:rPr>
          <w:rFonts w:asciiTheme="minorHAnsi" w:hAnsiTheme="minorHAnsi" w:eastAsiaTheme="minorEastAsia"/>
          <w:bCs/>
        </w:rPr>
      </w:pPr>
      <w:r>
        <w:fldChar w:fldCharType="begin"/>
      </w:r>
      <w:r>
        <w:instrText xml:space="preserve"> HYPERLINK \l "_Toc29547157" </w:instrText>
      </w:r>
      <w:r>
        <w:fldChar w:fldCharType="separate"/>
      </w:r>
      <w:r>
        <w:rPr>
          <w:rStyle w:val="22"/>
          <w:rFonts w:cs="Times New Roman"/>
          <w:bCs/>
          <w:color w:val="auto"/>
        </w:rPr>
        <w:t>2</w:t>
      </w:r>
      <w:r>
        <w:rPr>
          <w:rStyle w:val="22"/>
          <w:bCs/>
          <w:color w:val="auto"/>
        </w:rPr>
        <w:t xml:space="preserve"> 术语和符号</w:t>
      </w:r>
      <w:r>
        <w:rPr>
          <w:bCs/>
        </w:rPr>
        <w:tab/>
      </w:r>
      <w:r>
        <w:rPr>
          <w:bCs/>
        </w:rPr>
        <w:fldChar w:fldCharType="begin"/>
      </w:r>
      <w:r>
        <w:rPr>
          <w:bCs/>
        </w:rPr>
        <w:instrText xml:space="preserve"> PAGEREF _Toc29547157 \h </w:instrText>
      </w:r>
      <w:r>
        <w:rPr>
          <w:bCs/>
        </w:rPr>
        <w:fldChar w:fldCharType="separate"/>
      </w:r>
      <w:r>
        <w:rPr>
          <w:bCs/>
        </w:rPr>
        <w:t>2</w:t>
      </w:r>
      <w:r>
        <w:rPr>
          <w:bCs/>
        </w:rPr>
        <w:fldChar w:fldCharType="end"/>
      </w:r>
      <w:r>
        <w:rPr>
          <w:bCs/>
        </w:rPr>
        <w:fldChar w:fldCharType="end"/>
      </w:r>
    </w:p>
    <w:p>
      <w:pPr>
        <w:pStyle w:val="14"/>
        <w:spacing w:line="360" w:lineRule="auto"/>
        <w:rPr>
          <w:rFonts w:asciiTheme="minorHAnsi" w:hAnsiTheme="minorHAnsi" w:eastAsiaTheme="minorEastAsia"/>
          <w:bCs/>
        </w:rPr>
      </w:pPr>
      <w:r>
        <w:fldChar w:fldCharType="begin"/>
      </w:r>
      <w:r>
        <w:instrText xml:space="preserve"> HYPERLINK \l "_Toc29547159" </w:instrText>
      </w:r>
      <w:r>
        <w:fldChar w:fldCharType="separate"/>
      </w:r>
      <w:r>
        <w:rPr>
          <w:rStyle w:val="22"/>
          <w:rFonts w:cs="Times New Roman"/>
          <w:bCs/>
          <w:color w:val="auto"/>
        </w:rPr>
        <w:t>2.1</w:t>
      </w:r>
      <w:r>
        <w:rPr>
          <w:rStyle w:val="22"/>
          <w:bCs/>
          <w:color w:val="auto"/>
        </w:rPr>
        <w:t xml:space="preserve"> 术语</w:t>
      </w:r>
      <w:r>
        <w:rPr>
          <w:bCs/>
        </w:rPr>
        <w:tab/>
      </w:r>
      <w:r>
        <w:rPr>
          <w:bCs/>
        </w:rPr>
        <w:fldChar w:fldCharType="begin"/>
      </w:r>
      <w:r>
        <w:rPr>
          <w:bCs/>
        </w:rPr>
        <w:instrText xml:space="preserve"> PAGEREF _Toc29547159 \h </w:instrText>
      </w:r>
      <w:r>
        <w:rPr>
          <w:bCs/>
        </w:rPr>
        <w:fldChar w:fldCharType="separate"/>
      </w:r>
      <w:r>
        <w:rPr>
          <w:bCs/>
        </w:rPr>
        <w:t>2</w:t>
      </w:r>
      <w:r>
        <w:rPr>
          <w:bCs/>
        </w:rPr>
        <w:fldChar w:fldCharType="end"/>
      </w:r>
      <w:r>
        <w:rPr>
          <w:bCs/>
        </w:rPr>
        <w:fldChar w:fldCharType="end"/>
      </w:r>
    </w:p>
    <w:p>
      <w:pPr>
        <w:pStyle w:val="14"/>
        <w:spacing w:line="360" w:lineRule="auto"/>
        <w:rPr>
          <w:rFonts w:asciiTheme="minorHAnsi" w:hAnsiTheme="minorHAnsi" w:eastAsiaTheme="minorEastAsia"/>
          <w:bCs/>
        </w:rPr>
      </w:pPr>
      <w:r>
        <w:fldChar w:fldCharType="begin"/>
      </w:r>
      <w:r>
        <w:instrText xml:space="preserve"> HYPERLINK \l "_Toc29547160" </w:instrText>
      </w:r>
      <w:r>
        <w:fldChar w:fldCharType="separate"/>
      </w:r>
      <w:r>
        <w:rPr>
          <w:rStyle w:val="22"/>
          <w:rFonts w:cs="Times New Roman"/>
          <w:bCs/>
          <w:color w:val="auto"/>
        </w:rPr>
        <w:t>2.2</w:t>
      </w:r>
      <w:r>
        <w:rPr>
          <w:rStyle w:val="22"/>
          <w:bCs/>
          <w:color w:val="auto"/>
        </w:rPr>
        <w:t xml:space="preserve"> 符号</w:t>
      </w:r>
      <w:r>
        <w:rPr>
          <w:bCs/>
        </w:rPr>
        <w:tab/>
      </w:r>
      <w:r>
        <w:rPr>
          <w:bCs/>
        </w:rPr>
        <w:fldChar w:fldCharType="begin"/>
      </w:r>
      <w:r>
        <w:rPr>
          <w:bCs/>
        </w:rPr>
        <w:instrText xml:space="preserve"> PAGEREF _Toc29547160 \h </w:instrText>
      </w:r>
      <w:r>
        <w:rPr>
          <w:bCs/>
        </w:rPr>
        <w:fldChar w:fldCharType="separate"/>
      </w:r>
      <w:r>
        <w:rPr>
          <w:bCs/>
        </w:rPr>
        <w:t>3</w:t>
      </w:r>
      <w:r>
        <w:rPr>
          <w:bCs/>
        </w:rPr>
        <w:fldChar w:fldCharType="end"/>
      </w:r>
      <w:r>
        <w:rPr>
          <w:bCs/>
        </w:rPr>
        <w:fldChar w:fldCharType="end"/>
      </w:r>
    </w:p>
    <w:p>
      <w:pPr>
        <w:pStyle w:val="13"/>
        <w:spacing w:line="360" w:lineRule="auto"/>
        <w:rPr>
          <w:rFonts w:asciiTheme="minorHAnsi" w:hAnsiTheme="minorHAnsi" w:eastAsiaTheme="minorEastAsia"/>
          <w:bCs/>
        </w:rPr>
      </w:pPr>
      <w:r>
        <w:fldChar w:fldCharType="begin"/>
      </w:r>
      <w:r>
        <w:instrText xml:space="preserve"> HYPERLINK \l "_Toc29547161" </w:instrText>
      </w:r>
      <w:r>
        <w:fldChar w:fldCharType="separate"/>
      </w:r>
      <w:r>
        <w:rPr>
          <w:rStyle w:val="22"/>
          <w:rFonts w:cs="Times New Roman"/>
          <w:bCs/>
          <w:color w:val="auto"/>
        </w:rPr>
        <w:t>3</w:t>
      </w:r>
      <w:r>
        <w:rPr>
          <w:rStyle w:val="22"/>
          <w:bCs/>
          <w:color w:val="auto"/>
        </w:rPr>
        <w:t xml:space="preserve"> 基本规定</w:t>
      </w:r>
      <w:r>
        <w:rPr>
          <w:bCs/>
        </w:rPr>
        <w:tab/>
      </w:r>
      <w:r>
        <w:rPr>
          <w:bCs/>
        </w:rPr>
        <w:fldChar w:fldCharType="begin"/>
      </w:r>
      <w:r>
        <w:rPr>
          <w:bCs/>
        </w:rPr>
        <w:instrText xml:space="preserve"> PAGEREF _Toc29547161 \h </w:instrText>
      </w:r>
      <w:r>
        <w:rPr>
          <w:bCs/>
        </w:rPr>
        <w:fldChar w:fldCharType="separate"/>
      </w:r>
      <w:r>
        <w:rPr>
          <w:bCs/>
        </w:rPr>
        <w:t>4</w:t>
      </w:r>
      <w:r>
        <w:rPr>
          <w:bCs/>
        </w:rPr>
        <w:fldChar w:fldCharType="end"/>
      </w:r>
      <w:r>
        <w:rPr>
          <w:bCs/>
        </w:rPr>
        <w:fldChar w:fldCharType="end"/>
      </w:r>
    </w:p>
    <w:p>
      <w:pPr>
        <w:pStyle w:val="13"/>
        <w:spacing w:line="360" w:lineRule="auto"/>
        <w:rPr>
          <w:rFonts w:asciiTheme="minorHAnsi" w:hAnsiTheme="minorHAnsi" w:eastAsiaTheme="minorEastAsia"/>
          <w:bCs/>
        </w:rPr>
      </w:pPr>
      <w:r>
        <w:fldChar w:fldCharType="begin"/>
      </w:r>
      <w:r>
        <w:instrText xml:space="preserve"> HYPERLINK \l "_Toc29547162" </w:instrText>
      </w:r>
      <w:r>
        <w:fldChar w:fldCharType="separate"/>
      </w:r>
      <w:r>
        <w:rPr>
          <w:rStyle w:val="22"/>
          <w:rFonts w:cs="Times New Roman"/>
          <w:bCs/>
          <w:color w:val="auto"/>
        </w:rPr>
        <w:t>4</w:t>
      </w:r>
      <w:r>
        <w:rPr>
          <w:rStyle w:val="22"/>
          <w:bCs/>
          <w:color w:val="auto"/>
        </w:rPr>
        <w:t xml:space="preserve"> 玻璃/陶瓷再生细骨料</w:t>
      </w:r>
      <w:r>
        <w:rPr>
          <w:bCs/>
        </w:rPr>
        <w:tab/>
      </w:r>
      <w:r>
        <w:rPr>
          <w:bCs/>
        </w:rPr>
        <w:fldChar w:fldCharType="begin"/>
      </w:r>
      <w:r>
        <w:rPr>
          <w:bCs/>
        </w:rPr>
        <w:instrText xml:space="preserve"> PAGEREF _Toc29547162 \h </w:instrText>
      </w:r>
      <w:r>
        <w:rPr>
          <w:bCs/>
        </w:rPr>
        <w:fldChar w:fldCharType="separate"/>
      </w:r>
      <w:r>
        <w:rPr>
          <w:bCs/>
        </w:rPr>
        <w:t>5</w:t>
      </w:r>
      <w:r>
        <w:rPr>
          <w:bCs/>
        </w:rPr>
        <w:fldChar w:fldCharType="end"/>
      </w:r>
      <w:r>
        <w:rPr>
          <w:bCs/>
        </w:rPr>
        <w:fldChar w:fldCharType="end"/>
      </w:r>
    </w:p>
    <w:p>
      <w:pPr>
        <w:pStyle w:val="14"/>
        <w:spacing w:line="360" w:lineRule="auto"/>
        <w:rPr>
          <w:rFonts w:asciiTheme="minorHAnsi" w:hAnsiTheme="minorHAnsi" w:eastAsiaTheme="minorEastAsia"/>
          <w:bCs/>
        </w:rPr>
      </w:pPr>
      <w:r>
        <w:fldChar w:fldCharType="begin"/>
      </w:r>
      <w:r>
        <w:instrText xml:space="preserve"> HYPERLINK \l "_Toc29547164" </w:instrText>
      </w:r>
      <w:r>
        <w:fldChar w:fldCharType="separate"/>
      </w:r>
      <w:r>
        <w:rPr>
          <w:rStyle w:val="22"/>
          <w:rFonts w:cs="Times New Roman"/>
          <w:bCs/>
          <w:color w:val="auto"/>
        </w:rPr>
        <w:t>4.1</w:t>
      </w:r>
      <w:r>
        <w:rPr>
          <w:rStyle w:val="22"/>
          <w:bCs/>
          <w:color w:val="auto"/>
        </w:rPr>
        <w:t xml:space="preserve"> 技术要求</w:t>
      </w:r>
      <w:r>
        <w:rPr>
          <w:bCs/>
        </w:rPr>
        <w:tab/>
      </w:r>
      <w:r>
        <w:rPr>
          <w:bCs/>
        </w:rPr>
        <w:fldChar w:fldCharType="begin"/>
      </w:r>
      <w:r>
        <w:rPr>
          <w:bCs/>
        </w:rPr>
        <w:instrText xml:space="preserve"> PAGEREF _Toc29547164 \h </w:instrText>
      </w:r>
      <w:r>
        <w:rPr>
          <w:bCs/>
        </w:rPr>
        <w:fldChar w:fldCharType="separate"/>
      </w:r>
      <w:r>
        <w:rPr>
          <w:bCs/>
        </w:rPr>
        <w:t>5</w:t>
      </w:r>
      <w:r>
        <w:rPr>
          <w:bCs/>
        </w:rPr>
        <w:fldChar w:fldCharType="end"/>
      </w:r>
      <w:r>
        <w:rPr>
          <w:bCs/>
        </w:rPr>
        <w:fldChar w:fldCharType="end"/>
      </w:r>
    </w:p>
    <w:p>
      <w:pPr>
        <w:pStyle w:val="14"/>
        <w:spacing w:line="360" w:lineRule="auto"/>
        <w:rPr>
          <w:rFonts w:asciiTheme="minorHAnsi" w:hAnsiTheme="minorHAnsi" w:eastAsiaTheme="minorEastAsia"/>
          <w:bCs/>
        </w:rPr>
      </w:pPr>
      <w:r>
        <w:fldChar w:fldCharType="begin"/>
      </w:r>
      <w:r>
        <w:instrText xml:space="preserve"> HYPERLINK \l "_Toc29547165" </w:instrText>
      </w:r>
      <w:r>
        <w:fldChar w:fldCharType="separate"/>
      </w:r>
      <w:r>
        <w:rPr>
          <w:rStyle w:val="22"/>
          <w:rFonts w:cs="Times New Roman"/>
          <w:bCs/>
          <w:color w:val="auto"/>
        </w:rPr>
        <w:t>4.2</w:t>
      </w:r>
      <w:r>
        <w:rPr>
          <w:rStyle w:val="22"/>
          <w:bCs/>
          <w:color w:val="auto"/>
        </w:rPr>
        <w:t xml:space="preserve"> 进场检验</w:t>
      </w:r>
      <w:r>
        <w:rPr>
          <w:bCs/>
        </w:rPr>
        <w:tab/>
      </w:r>
      <w:r>
        <w:rPr>
          <w:bCs/>
        </w:rPr>
        <w:fldChar w:fldCharType="begin"/>
      </w:r>
      <w:r>
        <w:rPr>
          <w:bCs/>
        </w:rPr>
        <w:instrText xml:space="preserve"> PAGEREF _Toc29547165 \h </w:instrText>
      </w:r>
      <w:r>
        <w:rPr>
          <w:bCs/>
        </w:rPr>
        <w:fldChar w:fldCharType="separate"/>
      </w:r>
      <w:r>
        <w:rPr>
          <w:bCs/>
        </w:rPr>
        <w:t>5</w:t>
      </w:r>
      <w:r>
        <w:rPr>
          <w:bCs/>
        </w:rPr>
        <w:fldChar w:fldCharType="end"/>
      </w:r>
      <w:r>
        <w:rPr>
          <w:bCs/>
        </w:rPr>
        <w:fldChar w:fldCharType="end"/>
      </w:r>
    </w:p>
    <w:p>
      <w:pPr>
        <w:pStyle w:val="14"/>
        <w:spacing w:line="360" w:lineRule="auto"/>
        <w:rPr>
          <w:rFonts w:asciiTheme="minorHAnsi" w:hAnsiTheme="minorHAnsi" w:eastAsiaTheme="minorEastAsia"/>
          <w:bCs/>
        </w:rPr>
      </w:pPr>
      <w:r>
        <w:fldChar w:fldCharType="begin"/>
      </w:r>
      <w:r>
        <w:instrText xml:space="preserve"> HYPERLINK \l "_Toc29547166" </w:instrText>
      </w:r>
      <w:r>
        <w:fldChar w:fldCharType="separate"/>
      </w:r>
      <w:r>
        <w:rPr>
          <w:rStyle w:val="22"/>
          <w:rFonts w:cs="Times New Roman"/>
          <w:bCs/>
          <w:color w:val="auto"/>
        </w:rPr>
        <w:t>4.3</w:t>
      </w:r>
      <w:r>
        <w:rPr>
          <w:rStyle w:val="22"/>
          <w:bCs/>
          <w:color w:val="auto"/>
        </w:rPr>
        <w:t xml:space="preserve"> 运输和储存</w:t>
      </w:r>
      <w:r>
        <w:rPr>
          <w:bCs/>
        </w:rPr>
        <w:tab/>
      </w:r>
      <w:r>
        <w:rPr>
          <w:bCs/>
        </w:rPr>
        <w:fldChar w:fldCharType="begin"/>
      </w:r>
      <w:r>
        <w:rPr>
          <w:bCs/>
        </w:rPr>
        <w:instrText xml:space="preserve"> PAGEREF _Toc29547166 \h </w:instrText>
      </w:r>
      <w:r>
        <w:rPr>
          <w:bCs/>
        </w:rPr>
        <w:fldChar w:fldCharType="separate"/>
      </w:r>
      <w:r>
        <w:rPr>
          <w:bCs/>
        </w:rPr>
        <w:t>6</w:t>
      </w:r>
      <w:r>
        <w:rPr>
          <w:bCs/>
        </w:rPr>
        <w:fldChar w:fldCharType="end"/>
      </w:r>
      <w:r>
        <w:rPr>
          <w:bCs/>
        </w:rPr>
        <w:fldChar w:fldCharType="end"/>
      </w:r>
    </w:p>
    <w:p>
      <w:pPr>
        <w:pStyle w:val="13"/>
        <w:spacing w:line="360" w:lineRule="auto"/>
        <w:rPr>
          <w:rFonts w:asciiTheme="minorHAnsi" w:hAnsiTheme="minorHAnsi" w:eastAsiaTheme="minorEastAsia"/>
          <w:bCs/>
        </w:rPr>
      </w:pPr>
      <w:r>
        <w:fldChar w:fldCharType="begin"/>
      </w:r>
      <w:r>
        <w:instrText xml:space="preserve"> HYPERLINK \l "_Toc29547167" </w:instrText>
      </w:r>
      <w:r>
        <w:fldChar w:fldCharType="separate"/>
      </w:r>
      <w:r>
        <w:rPr>
          <w:rStyle w:val="22"/>
          <w:rFonts w:cs="Times New Roman"/>
          <w:bCs/>
          <w:color w:val="auto"/>
        </w:rPr>
        <w:t>5</w:t>
      </w:r>
      <w:r>
        <w:rPr>
          <w:rStyle w:val="22"/>
          <w:bCs/>
          <w:color w:val="auto"/>
        </w:rPr>
        <w:t xml:space="preserve"> 玻璃/陶瓷再生细骨料混凝土</w:t>
      </w:r>
      <w:r>
        <w:rPr>
          <w:bCs/>
        </w:rPr>
        <w:tab/>
      </w:r>
      <w:r>
        <w:rPr>
          <w:bCs/>
        </w:rPr>
        <w:fldChar w:fldCharType="begin"/>
      </w:r>
      <w:r>
        <w:rPr>
          <w:bCs/>
        </w:rPr>
        <w:instrText xml:space="preserve"> PAGEREF _Toc29547167 \h </w:instrText>
      </w:r>
      <w:r>
        <w:rPr>
          <w:bCs/>
        </w:rPr>
        <w:fldChar w:fldCharType="separate"/>
      </w:r>
      <w:r>
        <w:rPr>
          <w:bCs/>
        </w:rPr>
        <w:t>7</w:t>
      </w:r>
      <w:r>
        <w:rPr>
          <w:bCs/>
        </w:rPr>
        <w:fldChar w:fldCharType="end"/>
      </w:r>
      <w:r>
        <w:rPr>
          <w:bCs/>
        </w:rPr>
        <w:fldChar w:fldCharType="end"/>
      </w:r>
    </w:p>
    <w:p>
      <w:pPr>
        <w:pStyle w:val="14"/>
        <w:spacing w:line="360" w:lineRule="auto"/>
        <w:rPr>
          <w:rFonts w:asciiTheme="minorHAnsi" w:hAnsiTheme="minorHAnsi" w:eastAsiaTheme="minorEastAsia"/>
          <w:bCs/>
        </w:rPr>
      </w:pPr>
      <w:r>
        <w:fldChar w:fldCharType="begin"/>
      </w:r>
      <w:r>
        <w:instrText xml:space="preserve"> HYPERLINK \l "_Toc29547169" </w:instrText>
      </w:r>
      <w:r>
        <w:fldChar w:fldCharType="separate"/>
      </w:r>
      <w:r>
        <w:rPr>
          <w:rStyle w:val="22"/>
          <w:rFonts w:cs="Times New Roman"/>
          <w:bCs/>
          <w:color w:val="auto"/>
        </w:rPr>
        <w:t>5.1</w:t>
      </w:r>
      <w:r>
        <w:rPr>
          <w:rStyle w:val="22"/>
          <w:bCs/>
          <w:color w:val="auto"/>
        </w:rPr>
        <w:t xml:space="preserve"> 一般规定</w:t>
      </w:r>
      <w:r>
        <w:rPr>
          <w:bCs/>
        </w:rPr>
        <w:tab/>
      </w:r>
      <w:r>
        <w:rPr>
          <w:bCs/>
        </w:rPr>
        <w:fldChar w:fldCharType="begin"/>
      </w:r>
      <w:r>
        <w:rPr>
          <w:bCs/>
        </w:rPr>
        <w:instrText xml:space="preserve"> PAGEREF _Toc29547169 \h </w:instrText>
      </w:r>
      <w:r>
        <w:rPr>
          <w:bCs/>
        </w:rPr>
        <w:fldChar w:fldCharType="separate"/>
      </w:r>
      <w:r>
        <w:rPr>
          <w:bCs/>
        </w:rPr>
        <w:t>7</w:t>
      </w:r>
      <w:r>
        <w:rPr>
          <w:bCs/>
        </w:rPr>
        <w:fldChar w:fldCharType="end"/>
      </w:r>
      <w:r>
        <w:rPr>
          <w:bCs/>
        </w:rPr>
        <w:fldChar w:fldCharType="end"/>
      </w:r>
    </w:p>
    <w:p>
      <w:pPr>
        <w:pStyle w:val="14"/>
        <w:spacing w:line="360" w:lineRule="auto"/>
        <w:rPr>
          <w:rFonts w:asciiTheme="minorHAnsi" w:hAnsiTheme="minorHAnsi" w:eastAsiaTheme="minorEastAsia"/>
          <w:bCs/>
        </w:rPr>
      </w:pPr>
      <w:r>
        <w:fldChar w:fldCharType="begin"/>
      </w:r>
      <w:r>
        <w:instrText xml:space="preserve"> HYPERLINK \l "_Toc29547170" </w:instrText>
      </w:r>
      <w:r>
        <w:fldChar w:fldCharType="separate"/>
      </w:r>
      <w:r>
        <w:rPr>
          <w:rStyle w:val="22"/>
          <w:rFonts w:cs="Times New Roman"/>
          <w:bCs/>
          <w:color w:val="auto"/>
        </w:rPr>
        <w:t>5.2</w:t>
      </w:r>
      <w:r>
        <w:rPr>
          <w:rStyle w:val="22"/>
          <w:bCs/>
          <w:color w:val="auto"/>
        </w:rPr>
        <w:t xml:space="preserve"> 原材料</w:t>
      </w:r>
      <w:r>
        <w:rPr>
          <w:bCs/>
        </w:rPr>
        <w:tab/>
      </w:r>
      <w:r>
        <w:rPr>
          <w:bCs/>
        </w:rPr>
        <w:fldChar w:fldCharType="begin"/>
      </w:r>
      <w:r>
        <w:rPr>
          <w:bCs/>
        </w:rPr>
        <w:instrText xml:space="preserve"> PAGEREF _Toc29547170 \h </w:instrText>
      </w:r>
      <w:r>
        <w:rPr>
          <w:bCs/>
        </w:rPr>
        <w:fldChar w:fldCharType="separate"/>
      </w:r>
      <w:r>
        <w:rPr>
          <w:bCs/>
        </w:rPr>
        <w:t>7</w:t>
      </w:r>
      <w:r>
        <w:rPr>
          <w:bCs/>
        </w:rPr>
        <w:fldChar w:fldCharType="end"/>
      </w:r>
      <w:r>
        <w:rPr>
          <w:bCs/>
        </w:rPr>
        <w:fldChar w:fldCharType="end"/>
      </w:r>
    </w:p>
    <w:p>
      <w:pPr>
        <w:pStyle w:val="14"/>
        <w:spacing w:line="360" w:lineRule="auto"/>
        <w:rPr>
          <w:rFonts w:asciiTheme="minorHAnsi" w:hAnsiTheme="minorHAnsi" w:eastAsiaTheme="minorEastAsia"/>
          <w:bCs/>
        </w:rPr>
      </w:pPr>
      <w:r>
        <w:fldChar w:fldCharType="begin"/>
      </w:r>
      <w:r>
        <w:instrText xml:space="preserve"> HYPERLINK \l "_Toc29547171" </w:instrText>
      </w:r>
      <w:r>
        <w:fldChar w:fldCharType="separate"/>
      </w:r>
      <w:r>
        <w:rPr>
          <w:rStyle w:val="22"/>
          <w:rFonts w:cs="Times New Roman"/>
          <w:bCs/>
          <w:color w:val="auto"/>
        </w:rPr>
        <w:t>5.3</w:t>
      </w:r>
      <w:r>
        <w:rPr>
          <w:rStyle w:val="22"/>
          <w:bCs/>
          <w:color w:val="auto"/>
        </w:rPr>
        <w:t xml:space="preserve"> 配合比设计</w:t>
      </w:r>
      <w:r>
        <w:rPr>
          <w:bCs/>
        </w:rPr>
        <w:tab/>
      </w:r>
      <w:r>
        <w:rPr>
          <w:bCs/>
        </w:rPr>
        <w:fldChar w:fldCharType="begin"/>
      </w:r>
      <w:r>
        <w:rPr>
          <w:bCs/>
        </w:rPr>
        <w:instrText xml:space="preserve"> PAGEREF _Toc29547171 \h </w:instrText>
      </w:r>
      <w:r>
        <w:rPr>
          <w:bCs/>
        </w:rPr>
        <w:fldChar w:fldCharType="separate"/>
      </w:r>
      <w:r>
        <w:rPr>
          <w:bCs/>
        </w:rPr>
        <w:t>8</w:t>
      </w:r>
      <w:r>
        <w:rPr>
          <w:bCs/>
        </w:rPr>
        <w:fldChar w:fldCharType="end"/>
      </w:r>
      <w:r>
        <w:rPr>
          <w:bCs/>
        </w:rPr>
        <w:fldChar w:fldCharType="end"/>
      </w:r>
    </w:p>
    <w:p>
      <w:pPr>
        <w:pStyle w:val="14"/>
        <w:spacing w:line="360" w:lineRule="auto"/>
        <w:rPr>
          <w:rFonts w:asciiTheme="minorHAnsi" w:hAnsiTheme="minorHAnsi" w:eastAsiaTheme="minorEastAsia"/>
          <w:bCs/>
        </w:rPr>
      </w:pPr>
      <w:r>
        <w:fldChar w:fldCharType="begin"/>
      </w:r>
      <w:r>
        <w:instrText xml:space="preserve"> HYPERLINK \l "_Toc29547172" </w:instrText>
      </w:r>
      <w:r>
        <w:fldChar w:fldCharType="separate"/>
      </w:r>
      <w:r>
        <w:rPr>
          <w:rStyle w:val="22"/>
          <w:rFonts w:cs="Times New Roman"/>
          <w:bCs/>
          <w:color w:val="auto"/>
        </w:rPr>
        <w:t>5.4</w:t>
      </w:r>
      <w:r>
        <w:rPr>
          <w:rStyle w:val="22"/>
          <w:bCs/>
          <w:color w:val="auto"/>
        </w:rPr>
        <w:t xml:space="preserve"> 制备和运输</w:t>
      </w:r>
      <w:r>
        <w:rPr>
          <w:bCs/>
        </w:rPr>
        <w:tab/>
      </w:r>
      <w:r>
        <w:rPr>
          <w:bCs/>
        </w:rPr>
        <w:fldChar w:fldCharType="begin"/>
      </w:r>
      <w:r>
        <w:rPr>
          <w:bCs/>
        </w:rPr>
        <w:instrText xml:space="preserve"> PAGEREF _Toc29547172 \h </w:instrText>
      </w:r>
      <w:r>
        <w:rPr>
          <w:bCs/>
        </w:rPr>
        <w:fldChar w:fldCharType="separate"/>
      </w:r>
      <w:r>
        <w:rPr>
          <w:bCs/>
        </w:rPr>
        <w:t>9</w:t>
      </w:r>
      <w:r>
        <w:rPr>
          <w:bCs/>
        </w:rPr>
        <w:fldChar w:fldCharType="end"/>
      </w:r>
      <w:r>
        <w:rPr>
          <w:bCs/>
        </w:rPr>
        <w:fldChar w:fldCharType="end"/>
      </w:r>
    </w:p>
    <w:p>
      <w:pPr>
        <w:pStyle w:val="14"/>
        <w:spacing w:line="360" w:lineRule="auto"/>
        <w:rPr>
          <w:rFonts w:asciiTheme="minorHAnsi" w:hAnsiTheme="minorHAnsi" w:eastAsiaTheme="minorEastAsia"/>
          <w:bCs/>
        </w:rPr>
      </w:pPr>
      <w:r>
        <w:fldChar w:fldCharType="begin"/>
      </w:r>
      <w:r>
        <w:instrText xml:space="preserve"> HYPERLINK \l "_Toc29547173" </w:instrText>
      </w:r>
      <w:r>
        <w:fldChar w:fldCharType="separate"/>
      </w:r>
      <w:r>
        <w:rPr>
          <w:rStyle w:val="22"/>
          <w:rFonts w:cs="Times New Roman"/>
          <w:bCs/>
          <w:color w:val="auto"/>
        </w:rPr>
        <w:t>5.5</w:t>
      </w:r>
      <w:r>
        <w:rPr>
          <w:rStyle w:val="22"/>
          <w:bCs/>
          <w:color w:val="auto"/>
        </w:rPr>
        <w:t xml:space="preserve"> 浇筑和养护</w:t>
      </w:r>
      <w:r>
        <w:rPr>
          <w:bCs/>
        </w:rPr>
        <w:tab/>
      </w:r>
      <w:r>
        <w:rPr>
          <w:bCs/>
        </w:rPr>
        <w:fldChar w:fldCharType="begin"/>
      </w:r>
      <w:r>
        <w:rPr>
          <w:bCs/>
        </w:rPr>
        <w:instrText xml:space="preserve"> PAGEREF _Toc29547173 \h </w:instrText>
      </w:r>
      <w:r>
        <w:rPr>
          <w:bCs/>
        </w:rPr>
        <w:fldChar w:fldCharType="separate"/>
      </w:r>
      <w:r>
        <w:rPr>
          <w:bCs/>
        </w:rPr>
        <w:t>9</w:t>
      </w:r>
      <w:r>
        <w:rPr>
          <w:bCs/>
        </w:rPr>
        <w:fldChar w:fldCharType="end"/>
      </w:r>
      <w:r>
        <w:rPr>
          <w:bCs/>
        </w:rPr>
        <w:fldChar w:fldCharType="end"/>
      </w:r>
    </w:p>
    <w:p>
      <w:pPr>
        <w:pStyle w:val="14"/>
        <w:spacing w:line="360" w:lineRule="auto"/>
        <w:rPr>
          <w:rFonts w:asciiTheme="minorHAnsi" w:hAnsiTheme="minorHAnsi" w:eastAsiaTheme="minorEastAsia"/>
          <w:bCs/>
        </w:rPr>
      </w:pPr>
      <w:r>
        <w:fldChar w:fldCharType="begin"/>
      </w:r>
      <w:r>
        <w:instrText xml:space="preserve"> HYPERLINK \l "_Toc29547174" </w:instrText>
      </w:r>
      <w:r>
        <w:fldChar w:fldCharType="separate"/>
      </w:r>
      <w:r>
        <w:rPr>
          <w:rStyle w:val="22"/>
          <w:rFonts w:cs="Times New Roman"/>
          <w:bCs/>
          <w:color w:val="auto"/>
        </w:rPr>
        <w:t>5.6</w:t>
      </w:r>
      <w:r>
        <w:rPr>
          <w:rStyle w:val="22"/>
          <w:bCs/>
          <w:color w:val="auto"/>
        </w:rPr>
        <w:t xml:space="preserve"> 质量检验与验收</w:t>
      </w:r>
      <w:r>
        <w:rPr>
          <w:bCs/>
        </w:rPr>
        <w:tab/>
      </w:r>
      <w:r>
        <w:rPr>
          <w:bCs/>
        </w:rPr>
        <w:fldChar w:fldCharType="begin"/>
      </w:r>
      <w:r>
        <w:rPr>
          <w:bCs/>
        </w:rPr>
        <w:instrText xml:space="preserve"> PAGEREF _Toc29547174 \h </w:instrText>
      </w:r>
      <w:r>
        <w:rPr>
          <w:bCs/>
        </w:rPr>
        <w:fldChar w:fldCharType="separate"/>
      </w:r>
      <w:r>
        <w:rPr>
          <w:bCs/>
        </w:rPr>
        <w:t>9</w:t>
      </w:r>
      <w:r>
        <w:rPr>
          <w:bCs/>
        </w:rPr>
        <w:fldChar w:fldCharType="end"/>
      </w:r>
      <w:r>
        <w:rPr>
          <w:bCs/>
        </w:rPr>
        <w:fldChar w:fldCharType="end"/>
      </w:r>
    </w:p>
    <w:p>
      <w:pPr>
        <w:pStyle w:val="13"/>
        <w:spacing w:line="360" w:lineRule="auto"/>
        <w:rPr>
          <w:rFonts w:asciiTheme="minorHAnsi" w:hAnsiTheme="minorHAnsi" w:eastAsiaTheme="minorEastAsia"/>
          <w:bCs/>
        </w:rPr>
      </w:pPr>
      <w:r>
        <w:fldChar w:fldCharType="begin"/>
      </w:r>
      <w:r>
        <w:instrText xml:space="preserve"> HYPERLINK \l "_Toc29547175" </w:instrText>
      </w:r>
      <w:r>
        <w:fldChar w:fldCharType="separate"/>
      </w:r>
      <w:r>
        <w:rPr>
          <w:rStyle w:val="22"/>
          <w:rFonts w:cs="Times New Roman"/>
          <w:bCs/>
          <w:color w:val="auto"/>
        </w:rPr>
        <w:t>6</w:t>
      </w:r>
      <w:r>
        <w:rPr>
          <w:rStyle w:val="22"/>
          <w:bCs/>
          <w:color w:val="auto"/>
        </w:rPr>
        <w:t xml:space="preserve"> 玻璃/陶瓷再生细骨料砂浆</w:t>
      </w:r>
      <w:r>
        <w:rPr>
          <w:bCs/>
        </w:rPr>
        <w:tab/>
      </w:r>
      <w:r>
        <w:rPr>
          <w:bCs/>
        </w:rPr>
        <w:fldChar w:fldCharType="begin"/>
      </w:r>
      <w:r>
        <w:rPr>
          <w:bCs/>
        </w:rPr>
        <w:instrText xml:space="preserve"> PAGEREF _Toc29547175 \h </w:instrText>
      </w:r>
      <w:r>
        <w:rPr>
          <w:bCs/>
        </w:rPr>
        <w:fldChar w:fldCharType="separate"/>
      </w:r>
      <w:r>
        <w:rPr>
          <w:bCs/>
        </w:rPr>
        <w:t>10</w:t>
      </w:r>
      <w:r>
        <w:rPr>
          <w:bCs/>
        </w:rPr>
        <w:fldChar w:fldCharType="end"/>
      </w:r>
      <w:r>
        <w:rPr>
          <w:bCs/>
        </w:rPr>
        <w:fldChar w:fldCharType="end"/>
      </w:r>
    </w:p>
    <w:p>
      <w:pPr>
        <w:pStyle w:val="14"/>
        <w:spacing w:line="360" w:lineRule="auto"/>
        <w:rPr>
          <w:rFonts w:asciiTheme="minorHAnsi" w:hAnsiTheme="minorHAnsi" w:eastAsiaTheme="minorEastAsia"/>
          <w:bCs/>
        </w:rPr>
      </w:pPr>
      <w:r>
        <w:fldChar w:fldCharType="begin"/>
      </w:r>
      <w:r>
        <w:instrText xml:space="preserve"> HYPERLINK \l "_Toc29547177" </w:instrText>
      </w:r>
      <w:r>
        <w:fldChar w:fldCharType="separate"/>
      </w:r>
      <w:r>
        <w:rPr>
          <w:rStyle w:val="22"/>
          <w:rFonts w:cs="Times New Roman"/>
          <w:bCs/>
          <w:color w:val="auto"/>
        </w:rPr>
        <w:t>6.1</w:t>
      </w:r>
      <w:r>
        <w:rPr>
          <w:rStyle w:val="22"/>
          <w:bCs/>
          <w:color w:val="auto"/>
        </w:rPr>
        <w:t xml:space="preserve"> 一般规定</w:t>
      </w:r>
      <w:r>
        <w:rPr>
          <w:bCs/>
        </w:rPr>
        <w:tab/>
      </w:r>
      <w:r>
        <w:rPr>
          <w:bCs/>
        </w:rPr>
        <w:fldChar w:fldCharType="begin"/>
      </w:r>
      <w:r>
        <w:rPr>
          <w:bCs/>
        </w:rPr>
        <w:instrText xml:space="preserve"> PAGEREF _Toc29547177 \h </w:instrText>
      </w:r>
      <w:r>
        <w:rPr>
          <w:bCs/>
        </w:rPr>
        <w:fldChar w:fldCharType="separate"/>
      </w:r>
      <w:r>
        <w:rPr>
          <w:bCs/>
        </w:rPr>
        <w:t>10</w:t>
      </w:r>
      <w:r>
        <w:rPr>
          <w:bCs/>
        </w:rPr>
        <w:fldChar w:fldCharType="end"/>
      </w:r>
      <w:r>
        <w:rPr>
          <w:bCs/>
        </w:rPr>
        <w:fldChar w:fldCharType="end"/>
      </w:r>
    </w:p>
    <w:p>
      <w:pPr>
        <w:pStyle w:val="14"/>
        <w:spacing w:line="360" w:lineRule="auto"/>
        <w:rPr>
          <w:rFonts w:asciiTheme="minorHAnsi" w:hAnsiTheme="minorHAnsi" w:eastAsiaTheme="minorEastAsia"/>
          <w:bCs/>
        </w:rPr>
      </w:pPr>
      <w:r>
        <w:fldChar w:fldCharType="begin"/>
      </w:r>
      <w:r>
        <w:instrText xml:space="preserve"> HYPERLINK \l "_Toc29547178" </w:instrText>
      </w:r>
      <w:r>
        <w:fldChar w:fldCharType="separate"/>
      </w:r>
      <w:r>
        <w:rPr>
          <w:rStyle w:val="22"/>
          <w:rFonts w:cs="Times New Roman"/>
          <w:bCs/>
          <w:color w:val="auto"/>
        </w:rPr>
        <w:t>6.2</w:t>
      </w:r>
      <w:r>
        <w:rPr>
          <w:rStyle w:val="22"/>
          <w:bCs/>
          <w:color w:val="auto"/>
        </w:rPr>
        <w:t xml:space="preserve"> 配合比设计</w:t>
      </w:r>
      <w:r>
        <w:rPr>
          <w:bCs/>
        </w:rPr>
        <w:tab/>
      </w:r>
      <w:r>
        <w:rPr>
          <w:bCs/>
        </w:rPr>
        <w:fldChar w:fldCharType="begin"/>
      </w:r>
      <w:r>
        <w:rPr>
          <w:bCs/>
        </w:rPr>
        <w:instrText xml:space="preserve"> PAGEREF _Toc29547178 \h </w:instrText>
      </w:r>
      <w:r>
        <w:rPr>
          <w:bCs/>
        </w:rPr>
        <w:fldChar w:fldCharType="separate"/>
      </w:r>
      <w:r>
        <w:rPr>
          <w:bCs/>
        </w:rPr>
        <w:t>10</w:t>
      </w:r>
      <w:r>
        <w:rPr>
          <w:bCs/>
        </w:rPr>
        <w:fldChar w:fldCharType="end"/>
      </w:r>
      <w:r>
        <w:rPr>
          <w:bCs/>
        </w:rPr>
        <w:fldChar w:fldCharType="end"/>
      </w:r>
    </w:p>
    <w:p>
      <w:pPr>
        <w:pStyle w:val="14"/>
        <w:spacing w:line="360" w:lineRule="auto"/>
        <w:rPr>
          <w:rFonts w:asciiTheme="minorHAnsi" w:hAnsiTheme="minorHAnsi" w:eastAsiaTheme="minorEastAsia"/>
          <w:bCs/>
        </w:rPr>
      </w:pPr>
      <w:r>
        <w:fldChar w:fldCharType="begin"/>
      </w:r>
      <w:r>
        <w:instrText xml:space="preserve"> HYPERLINK \l "_Toc29547179" </w:instrText>
      </w:r>
      <w:r>
        <w:fldChar w:fldCharType="separate"/>
      </w:r>
      <w:r>
        <w:rPr>
          <w:rStyle w:val="22"/>
          <w:rFonts w:cs="Times New Roman"/>
          <w:bCs/>
          <w:color w:val="auto"/>
        </w:rPr>
        <w:t>6.3</w:t>
      </w:r>
      <w:r>
        <w:rPr>
          <w:rStyle w:val="22"/>
          <w:bCs/>
          <w:color w:val="auto"/>
        </w:rPr>
        <w:t xml:space="preserve"> 制备和运输</w:t>
      </w:r>
      <w:r>
        <w:rPr>
          <w:bCs/>
        </w:rPr>
        <w:tab/>
      </w:r>
      <w:r>
        <w:rPr>
          <w:bCs/>
        </w:rPr>
        <w:fldChar w:fldCharType="begin"/>
      </w:r>
      <w:r>
        <w:rPr>
          <w:bCs/>
        </w:rPr>
        <w:instrText xml:space="preserve"> PAGEREF _Toc29547179 \h </w:instrText>
      </w:r>
      <w:r>
        <w:rPr>
          <w:bCs/>
        </w:rPr>
        <w:fldChar w:fldCharType="separate"/>
      </w:r>
      <w:r>
        <w:rPr>
          <w:bCs/>
        </w:rPr>
        <w:t>11</w:t>
      </w:r>
      <w:r>
        <w:rPr>
          <w:bCs/>
        </w:rPr>
        <w:fldChar w:fldCharType="end"/>
      </w:r>
      <w:r>
        <w:rPr>
          <w:bCs/>
        </w:rPr>
        <w:fldChar w:fldCharType="end"/>
      </w:r>
    </w:p>
    <w:p>
      <w:pPr>
        <w:pStyle w:val="14"/>
        <w:spacing w:line="360" w:lineRule="auto"/>
        <w:rPr>
          <w:rFonts w:asciiTheme="minorHAnsi" w:hAnsiTheme="minorHAnsi" w:eastAsiaTheme="minorEastAsia"/>
          <w:bCs/>
        </w:rPr>
      </w:pPr>
      <w:r>
        <w:fldChar w:fldCharType="begin"/>
      </w:r>
      <w:r>
        <w:instrText xml:space="preserve"> HYPERLINK \l "_Toc29547180" </w:instrText>
      </w:r>
      <w:r>
        <w:fldChar w:fldCharType="separate"/>
      </w:r>
      <w:r>
        <w:rPr>
          <w:rStyle w:val="22"/>
          <w:rFonts w:cs="Times New Roman"/>
          <w:bCs/>
          <w:color w:val="auto"/>
        </w:rPr>
        <w:t>6.4</w:t>
      </w:r>
      <w:r>
        <w:rPr>
          <w:rStyle w:val="22"/>
          <w:bCs/>
          <w:color w:val="auto"/>
        </w:rPr>
        <w:t xml:space="preserve"> 质量检验与验收</w:t>
      </w:r>
      <w:r>
        <w:rPr>
          <w:bCs/>
        </w:rPr>
        <w:tab/>
      </w:r>
      <w:r>
        <w:rPr>
          <w:bCs/>
        </w:rPr>
        <w:fldChar w:fldCharType="begin"/>
      </w:r>
      <w:r>
        <w:rPr>
          <w:bCs/>
        </w:rPr>
        <w:instrText xml:space="preserve"> PAGEREF _Toc29547180 \h </w:instrText>
      </w:r>
      <w:r>
        <w:rPr>
          <w:bCs/>
        </w:rPr>
        <w:fldChar w:fldCharType="separate"/>
      </w:r>
      <w:r>
        <w:rPr>
          <w:bCs/>
        </w:rPr>
        <w:t>11</w:t>
      </w:r>
      <w:r>
        <w:rPr>
          <w:bCs/>
        </w:rPr>
        <w:fldChar w:fldCharType="end"/>
      </w:r>
      <w:r>
        <w:rPr>
          <w:bCs/>
        </w:rPr>
        <w:fldChar w:fldCharType="end"/>
      </w:r>
    </w:p>
    <w:p>
      <w:pPr>
        <w:pStyle w:val="13"/>
        <w:spacing w:line="360" w:lineRule="auto"/>
        <w:rPr>
          <w:rFonts w:asciiTheme="minorHAnsi" w:hAnsiTheme="minorHAnsi" w:eastAsiaTheme="minorEastAsia"/>
          <w:bCs/>
        </w:rPr>
      </w:pPr>
      <w:r>
        <w:fldChar w:fldCharType="begin"/>
      </w:r>
      <w:r>
        <w:instrText xml:space="preserve"> HYPERLINK \l "_Toc29547181" </w:instrText>
      </w:r>
      <w:r>
        <w:fldChar w:fldCharType="separate"/>
      </w:r>
      <w:r>
        <w:rPr>
          <w:rStyle w:val="22"/>
          <w:bCs/>
          <w:color w:val="auto"/>
        </w:rPr>
        <w:t>本规程用词说明</w:t>
      </w:r>
      <w:r>
        <w:rPr>
          <w:bCs/>
        </w:rPr>
        <w:tab/>
      </w:r>
      <w:r>
        <w:rPr>
          <w:bCs/>
        </w:rPr>
        <w:fldChar w:fldCharType="begin"/>
      </w:r>
      <w:r>
        <w:rPr>
          <w:bCs/>
        </w:rPr>
        <w:instrText xml:space="preserve"> PAGEREF _Toc29547181 \h </w:instrText>
      </w:r>
      <w:r>
        <w:rPr>
          <w:bCs/>
        </w:rPr>
        <w:fldChar w:fldCharType="separate"/>
      </w:r>
      <w:r>
        <w:rPr>
          <w:bCs/>
        </w:rPr>
        <w:t>12</w:t>
      </w:r>
      <w:r>
        <w:rPr>
          <w:bCs/>
        </w:rPr>
        <w:fldChar w:fldCharType="end"/>
      </w:r>
      <w:r>
        <w:rPr>
          <w:bCs/>
        </w:rPr>
        <w:fldChar w:fldCharType="end"/>
      </w:r>
    </w:p>
    <w:p>
      <w:pPr>
        <w:pStyle w:val="13"/>
        <w:spacing w:line="360" w:lineRule="auto"/>
        <w:rPr>
          <w:bCs/>
        </w:rPr>
      </w:pPr>
      <w:r>
        <w:fldChar w:fldCharType="begin"/>
      </w:r>
      <w:r>
        <w:instrText xml:space="preserve"> HYPERLINK \l "_Toc29547182" </w:instrText>
      </w:r>
      <w:r>
        <w:fldChar w:fldCharType="separate"/>
      </w:r>
      <w:r>
        <w:rPr>
          <w:rStyle w:val="22"/>
          <w:bCs/>
          <w:color w:val="auto"/>
        </w:rPr>
        <w:t>引用标准名录</w:t>
      </w:r>
      <w:r>
        <w:rPr>
          <w:bCs/>
        </w:rPr>
        <w:tab/>
      </w:r>
      <w:r>
        <w:rPr>
          <w:bCs/>
        </w:rPr>
        <w:fldChar w:fldCharType="begin"/>
      </w:r>
      <w:r>
        <w:rPr>
          <w:bCs/>
        </w:rPr>
        <w:instrText xml:space="preserve"> PAGEREF _Toc29547182 \h </w:instrText>
      </w:r>
      <w:r>
        <w:rPr>
          <w:bCs/>
        </w:rPr>
        <w:fldChar w:fldCharType="separate"/>
      </w:r>
      <w:r>
        <w:rPr>
          <w:bCs/>
        </w:rPr>
        <w:t>13</w:t>
      </w:r>
      <w:r>
        <w:rPr>
          <w:bCs/>
        </w:rPr>
        <w:fldChar w:fldCharType="end"/>
      </w:r>
      <w:r>
        <w:rPr>
          <w:bCs/>
        </w:rPr>
        <w:fldChar w:fldCharType="end"/>
      </w:r>
    </w:p>
    <w:p>
      <w:pPr>
        <w:pStyle w:val="13"/>
        <w:spacing w:line="360" w:lineRule="auto"/>
        <w:rPr>
          <w:bCs/>
        </w:rPr>
      </w:pPr>
      <w:r>
        <w:fldChar w:fldCharType="begin"/>
      </w:r>
      <w:r>
        <w:instrText xml:space="preserve"> HYPERLINK \l "_Toc29547182" </w:instrText>
      </w:r>
      <w:r>
        <w:fldChar w:fldCharType="separate"/>
      </w:r>
      <w:r>
        <w:rPr>
          <w:rStyle w:val="22"/>
          <w:bCs/>
          <w:color w:val="auto"/>
        </w:rPr>
        <w:t>附</w:t>
      </w:r>
      <w:r>
        <w:rPr>
          <w:rStyle w:val="22"/>
          <w:rFonts w:hint="eastAsia"/>
          <w:bCs/>
          <w:color w:val="auto"/>
        </w:rPr>
        <w:t>：</w:t>
      </w:r>
      <w:r>
        <w:rPr>
          <w:rStyle w:val="22"/>
          <w:bCs/>
          <w:color w:val="auto"/>
        </w:rPr>
        <w:t>条文说明</w:t>
      </w:r>
      <w:r>
        <w:rPr>
          <w:bCs/>
        </w:rPr>
        <w:tab/>
      </w:r>
      <w:r>
        <w:rPr>
          <w:bCs/>
        </w:rPr>
        <w:fldChar w:fldCharType="begin"/>
      </w:r>
      <w:r>
        <w:rPr>
          <w:bCs/>
        </w:rPr>
        <w:instrText xml:space="preserve"> PAGEREF _Toc29547182 \h </w:instrText>
      </w:r>
      <w:r>
        <w:rPr>
          <w:bCs/>
        </w:rPr>
        <w:fldChar w:fldCharType="separate"/>
      </w:r>
      <w:r>
        <w:rPr>
          <w:bCs/>
        </w:rPr>
        <w:t>13</w:t>
      </w:r>
      <w:r>
        <w:rPr>
          <w:bCs/>
        </w:rPr>
        <w:fldChar w:fldCharType="end"/>
      </w:r>
      <w:r>
        <w:rPr>
          <w:bCs/>
        </w:rPr>
        <w:fldChar w:fldCharType="end"/>
      </w:r>
    </w:p>
    <w:p>
      <w:pPr>
        <w:spacing w:line="360" w:lineRule="auto"/>
      </w:pPr>
    </w:p>
    <w:p>
      <w:pPr>
        <w:spacing w:line="360" w:lineRule="auto"/>
        <w:jc w:val="center"/>
        <w:rPr>
          <w:rFonts w:ascii="黑体" w:hAnsi="黑体" w:eastAsia="黑体" w:cs="宋体"/>
          <w:spacing w:val="-1"/>
          <w:sz w:val="24"/>
        </w:rPr>
        <w:sectPr>
          <w:headerReference r:id="rId4" w:type="first"/>
          <w:headerReference r:id="rId3" w:type="default"/>
          <w:footerReference r:id="rId5" w:type="default"/>
          <w:footnotePr>
            <w:numFmt w:val="decimalEnclosedCircleChinese"/>
          </w:footnotePr>
          <w:pgSz w:w="11906" w:h="16838"/>
          <w:pgMar w:top="1440" w:right="1701" w:bottom="1440" w:left="1814" w:header="851" w:footer="851" w:gutter="0"/>
          <w:pgNumType w:start="0"/>
          <w:cols w:space="425" w:num="1"/>
          <w:titlePg/>
          <w:docGrid w:type="lines" w:linePitch="312" w:charSpace="0"/>
        </w:sectPr>
      </w:pPr>
      <w:r>
        <w:rPr>
          <w:rFonts w:hint="eastAsia" w:ascii="黑体" w:hAnsi="黑体" w:eastAsia="黑体" w:cs="黑体"/>
          <w:spacing w:val="-1"/>
          <w:szCs w:val="24"/>
        </w:rPr>
        <w:fldChar w:fldCharType="end"/>
      </w:r>
      <w:bookmarkEnd w:id="1"/>
    </w:p>
    <w:p>
      <w:pPr>
        <w:pStyle w:val="24"/>
        <w:spacing w:before="156" w:after="156"/>
        <w:rPr>
          <w:sz w:val="32"/>
          <w:szCs w:val="32"/>
        </w:rPr>
      </w:pPr>
      <w:bookmarkStart w:id="2" w:name="_Toc29547156"/>
      <w:r>
        <w:rPr>
          <w:rFonts w:hint="eastAsia"/>
          <w:sz w:val="32"/>
          <w:szCs w:val="32"/>
        </w:rPr>
        <w:t>总  则</w:t>
      </w:r>
      <w:bookmarkEnd w:id="2"/>
    </w:p>
    <w:p>
      <w:pPr>
        <w:pStyle w:val="54"/>
        <w:spacing w:line="360" w:lineRule="auto"/>
      </w:pPr>
      <w:r>
        <w:rPr>
          <w:rFonts w:hint="eastAsia"/>
        </w:rPr>
        <w:t>为了节约资源、保护环境，促进废弃玻璃和陶瓷的资源化再生利用，保证废弃玻璃和陶瓷资源化利用建材产品的合理应用，做到安全适用、技术先进、经济合理、确保质量，制定本规程。</w:t>
      </w:r>
    </w:p>
    <w:p>
      <w:pPr>
        <w:pStyle w:val="54"/>
        <w:spacing w:line="360" w:lineRule="auto"/>
      </w:pPr>
      <w:r>
        <w:rPr>
          <w:rFonts w:hint="eastAsia"/>
        </w:rPr>
        <w:t>本规程适用于玻璃和陶瓷再生细骨料在混凝土和砂浆中的应用。</w:t>
      </w:r>
    </w:p>
    <w:p>
      <w:pPr>
        <w:pStyle w:val="54"/>
        <w:spacing w:line="360" w:lineRule="auto"/>
      </w:pPr>
      <w:r>
        <w:rPr>
          <w:rFonts w:hint="eastAsia"/>
        </w:rPr>
        <w:t>玻璃和陶瓷再生细骨料在混凝土和砂浆中的应用，除应符合本规程外，尚应符合现行国家、行业有关标准的规定。</w:t>
      </w:r>
    </w:p>
    <w:p>
      <w:pPr>
        <w:pStyle w:val="27"/>
        <w:spacing w:beforeLines="0" w:afterLines="0" w:line="360" w:lineRule="auto"/>
        <w:rPr>
          <w:rFonts w:ascii="宋体" w:eastAsia="宋体" w:hAnsiTheme="minorEastAsia"/>
          <w:szCs w:val="21"/>
        </w:rPr>
      </w:pPr>
      <w:r>
        <w:rPr>
          <w:rFonts w:hint="eastAsia" w:ascii="宋体" w:eastAsia="宋体" w:hAnsiTheme="minorEastAsia"/>
          <w:szCs w:val="21"/>
        </w:rPr>
        <w:t>玻璃和陶瓷再生细骨料的应用应符合国家和福建省现行有关安全和环保的规定。</w:t>
      </w:r>
    </w:p>
    <w:p>
      <w:r>
        <w:rPr>
          <w:rFonts w:hint="eastAsia"/>
        </w:rPr>
        <w:br w:type="page"/>
      </w:r>
    </w:p>
    <w:p>
      <w:pPr>
        <w:pStyle w:val="24"/>
        <w:spacing w:before="156" w:after="156"/>
        <w:rPr>
          <w:sz w:val="32"/>
          <w:szCs w:val="32"/>
        </w:rPr>
      </w:pPr>
      <w:bookmarkStart w:id="3" w:name="_Toc529994702"/>
      <w:bookmarkStart w:id="4" w:name="_Toc29547157"/>
      <w:r>
        <w:rPr>
          <w:sz w:val="32"/>
          <w:szCs w:val="32"/>
        </w:rPr>
        <w:t>术语和</w:t>
      </w:r>
      <w:bookmarkEnd w:id="3"/>
      <w:r>
        <w:rPr>
          <w:rFonts w:hint="eastAsia"/>
          <w:sz w:val="32"/>
          <w:szCs w:val="32"/>
        </w:rPr>
        <w:t>符号</w:t>
      </w:r>
      <w:bookmarkEnd w:id="4"/>
    </w:p>
    <w:p>
      <w:pPr>
        <w:pStyle w:val="51"/>
        <w:spacing w:before="156" w:after="156"/>
        <w:rPr>
          <w:vanish/>
        </w:rPr>
      </w:pPr>
      <w:bookmarkStart w:id="5" w:name="_Toc13481"/>
      <w:bookmarkEnd w:id="5"/>
      <w:bookmarkStart w:id="6" w:name="_Toc517"/>
      <w:bookmarkEnd w:id="6"/>
      <w:bookmarkStart w:id="7" w:name="_Toc29547158"/>
      <w:bookmarkEnd w:id="7"/>
      <w:bookmarkStart w:id="8" w:name="_Toc32734"/>
      <w:bookmarkEnd w:id="8"/>
    </w:p>
    <w:p>
      <w:pPr>
        <w:pStyle w:val="51"/>
        <w:spacing w:before="156" w:after="156"/>
        <w:rPr>
          <w:szCs w:val="28"/>
        </w:rPr>
      </w:pPr>
      <w:bookmarkStart w:id="9" w:name="_Toc29547159"/>
      <w:r>
        <w:rPr>
          <w:rFonts w:hint="eastAsia"/>
          <w:szCs w:val="28"/>
        </w:rPr>
        <w:t>术语</w:t>
      </w:r>
      <w:bookmarkEnd w:id="9"/>
    </w:p>
    <w:p>
      <w:pPr>
        <w:pStyle w:val="27"/>
        <w:spacing w:before="156" w:after="156"/>
        <w:rPr>
          <w:rFonts w:asciiTheme="minorEastAsia" w:hAnsiTheme="minorEastAsia" w:eastAsiaTheme="minorEastAsia"/>
          <w:b/>
        </w:rPr>
      </w:pPr>
      <w:r>
        <w:rPr>
          <w:rFonts w:hint="eastAsia" w:asciiTheme="minorEastAsia" w:hAnsiTheme="minorEastAsia" w:eastAsiaTheme="minorEastAsia"/>
          <w:b/>
        </w:rPr>
        <w:t>玻璃再生细骨料 glass recycled fine aggregate</w:t>
      </w:r>
    </w:p>
    <w:p>
      <w:pPr>
        <w:pStyle w:val="35"/>
        <w:spacing w:line="360" w:lineRule="auto"/>
      </w:pPr>
      <w:r>
        <w:rPr>
          <w:rFonts w:hint="eastAsia"/>
        </w:rPr>
        <w:t>由废弃的玻璃加工而成，粒径不大于4.75mm的颗粒。</w:t>
      </w:r>
    </w:p>
    <w:p>
      <w:pPr>
        <w:pStyle w:val="27"/>
        <w:spacing w:before="156" w:after="156"/>
        <w:rPr>
          <w:rFonts w:asciiTheme="minorEastAsia" w:hAnsiTheme="minorEastAsia" w:eastAsiaTheme="minorEastAsia"/>
          <w:b/>
        </w:rPr>
      </w:pPr>
      <w:r>
        <w:rPr>
          <w:rFonts w:hint="eastAsia" w:asciiTheme="minorEastAsia" w:hAnsiTheme="minorEastAsia" w:eastAsiaTheme="minorEastAsia"/>
          <w:b/>
        </w:rPr>
        <w:t>陶瓷再生细骨料 ceramics recycled fine aggregate</w:t>
      </w:r>
    </w:p>
    <w:p>
      <w:pPr>
        <w:pStyle w:val="35"/>
      </w:pPr>
      <w:r>
        <w:rPr>
          <w:rStyle w:val="37"/>
          <w:rFonts w:hint="eastAsia"/>
        </w:rPr>
        <w:t>由废弃的陶瓷加工而成，粒径不大于4.75mm的颗粒</w:t>
      </w:r>
      <w:r>
        <w:rPr>
          <w:rFonts w:hint="eastAsia"/>
        </w:rPr>
        <w:t>。</w:t>
      </w:r>
    </w:p>
    <w:p>
      <w:pPr>
        <w:pStyle w:val="27"/>
        <w:spacing w:beforeLines="0" w:afterLines="0" w:line="360" w:lineRule="auto"/>
        <w:rPr>
          <w:rFonts w:asciiTheme="minorEastAsia" w:hAnsiTheme="minorEastAsia" w:eastAsiaTheme="minorEastAsia"/>
          <w:b/>
        </w:rPr>
      </w:pPr>
      <w:r>
        <w:rPr>
          <w:rFonts w:hint="eastAsia" w:asciiTheme="minorEastAsia" w:hAnsiTheme="minorEastAsia" w:eastAsiaTheme="minorEastAsia"/>
          <w:b/>
        </w:rPr>
        <w:t>玻璃/陶瓷再生细骨料取代率 replacement ratio of glass</w:t>
      </w:r>
      <w:r>
        <w:rPr>
          <w:rFonts w:asciiTheme="minorEastAsia" w:hAnsiTheme="minorEastAsia" w:eastAsiaTheme="minorEastAsia"/>
          <w:b/>
        </w:rPr>
        <w:t>/</w:t>
      </w:r>
      <w:r>
        <w:rPr>
          <w:rFonts w:hint="eastAsia" w:asciiTheme="minorEastAsia" w:hAnsiTheme="minorEastAsia" w:eastAsiaTheme="minorEastAsia"/>
          <w:b/>
        </w:rPr>
        <w:t>ceramics recycled fine aggregate</w:t>
      </w:r>
    </w:p>
    <w:p>
      <w:pPr>
        <w:pStyle w:val="35"/>
        <w:spacing w:line="360" w:lineRule="auto"/>
        <w:ind w:firstLine="452"/>
        <w:rPr>
          <w:rFonts w:cs="宋体"/>
          <w:szCs w:val="21"/>
        </w:rPr>
      </w:pPr>
      <w:r>
        <w:rPr>
          <w:rFonts w:hint="eastAsia" w:cs="宋体"/>
          <w:spacing w:val="8"/>
          <w:kern w:val="0"/>
          <w:szCs w:val="21"/>
        </w:rPr>
        <w:t>玻璃、陶瓷再生细骨料用量占细骨料总用量的</w:t>
      </w:r>
      <w:r>
        <w:rPr>
          <w:rFonts w:hint="eastAsia" w:cs="宋体"/>
          <w:kern w:val="0"/>
          <w:szCs w:val="21"/>
        </w:rPr>
        <w:t>质量百分比，单位为%</w:t>
      </w:r>
      <w:r>
        <w:rPr>
          <w:rFonts w:hint="eastAsia" w:cs="宋体"/>
          <w:szCs w:val="21"/>
        </w:rPr>
        <w:t>。</w:t>
      </w:r>
    </w:p>
    <w:p>
      <w:pPr>
        <w:pStyle w:val="27"/>
        <w:spacing w:before="156" w:after="156"/>
        <w:rPr>
          <w:rFonts w:asciiTheme="minorEastAsia" w:hAnsiTheme="minorEastAsia" w:eastAsiaTheme="minorEastAsia"/>
          <w:b/>
        </w:rPr>
      </w:pPr>
      <w:r>
        <w:rPr>
          <w:rFonts w:hint="eastAsia" w:asciiTheme="minorEastAsia" w:hAnsiTheme="minorEastAsia" w:eastAsiaTheme="minorEastAsia"/>
          <w:b/>
        </w:rPr>
        <w:t>玻璃/陶瓷再生细骨料混凝土 glass</w:t>
      </w:r>
      <w:r>
        <w:rPr>
          <w:rFonts w:asciiTheme="minorEastAsia" w:hAnsiTheme="minorEastAsia" w:eastAsiaTheme="minorEastAsia"/>
          <w:b/>
        </w:rPr>
        <w:t>/</w:t>
      </w:r>
      <w:r>
        <w:rPr>
          <w:rFonts w:hint="eastAsia" w:asciiTheme="minorEastAsia" w:hAnsiTheme="minorEastAsia" w:eastAsiaTheme="minorEastAsia"/>
          <w:b/>
        </w:rPr>
        <w:t>ceramics recycled fine aggregate concrete</w:t>
      </w:r>
    </w:p>
    <w:p>
      <w:pPr>
        <w:pStyle w:val="35"/>
        <w:spacing w:line="360" w:lineRule="auto"/>
      </w:pPr>
      <w:r>
        <w:rPr>
          <w:rFonts w:hint="eastAsia"/>
        </w:rPr>
        <w:t>掺用玻璃或陶瓷再生细骨料配制而成的混凝土。仅掺用玻璃再生细骨料的混凝土，称为玻璃再生细骨料混凝土；仅掺用陶瓷再生细骨料的混凝土，称为陶瓷再生细骨料混凝土。</w:t>
      </w:r>
    </w:p>
    <w:p>
      <w:pPr>
        <w:pStyle w:val="27"/>
        <w:spacing w:before="156" w:after="156"/>
        <w:rPr>
          <w:rFonts w:asciiTheme="minorEastAsia" w:hAnsiTheme="minorEastAsia" w:eastAsiaTheme="minorEastAsia"/>
          <w:b/>
        </w:rPr>
      </w:pPr>
      <w:r>
        <w:rPr>
          <w:rFonts w:hint="eastAsia" w:asciiTheme="minorEastAsia" w:hAnsiTheme="minorEastAsia" w:eastAsiaTheme="minorEastAsia"/>
          <w:b/>
        </w:rPr>
        <w:t>玻璃/陶瓷再生细骨料砂浆  glass</w:t>
      </w:r>
      <w:r>
        <w:rPr>
          <w:rFonts w:asciiTheme="minorEastAsia" w:hAnsiTheme="minorEastAsia" w:eastAsiaTheme="minorEastAsia"/>
          <w:b/>
        </w:rPr>
        <w:t>/</w:t>
      </w:r>
      <w:r>
        <w:rPr>
          <w:rFonts w:hint="eastAsia" w:asciiTheme="minorEastAsia" w:hAnsiTheme="minorEastAsia" w:eastAsiaTheme="minorEastAsia"/>
          <w:b/>
        </w:rPr>
        <w:t>ceramics recycled fine aggregate mortar</w:t>
      </w:r>
    </w:p>
    <w:p>
      <w:pPr>
        <w:pStyle w:val="35"/>
        <w:spacing w:line="360" w:lineRule="auto"/>
      </w:pPr>
      <w:r>
        <w:rPr>
          <w:rFonts w:hint="eastAsia"/>
        </w:rPr>
        <w:t>掺用玻璃或陶瓷再生细骨料配制而成的预拌砂浆。仅掺用玻璃再生细骨料的预拌砂浆，称为玻璃再生细骨料砂浆；仅掺用陶瓷再生细骨料的预拌砂浆，称为陶瓷再生细骨料砂浆。</w:t>
      </w:r>
    </w:p>
    <w:p>
      <w:pPr>
        <w:widowControl/>
        <w:jc w:val="left"/>
        <w:rPr>
          <w:rFonts w:ascii="黑体" w:hAnsi="黑体" w:eastAsia="黑体"/>
          <w:sz w:val="28"/>
          <w:szCs w:val="28"/>
        </w:rPr>
      </w:pPr>
      <w:bookmarkStart w:id="10" w:name="_Toc29547160"/>
      <w:r>
        <w:rPr>
          <w:szCs w:val="28"/>
        </w:rPr>
        <w:br w:type="page"/>
      </w:r>
    </w:p>
    <w:p>
      <w:pPr>
        <w:pStyle w:val="51"/>
        <w:spacing w:before="156" w:after="156"/>
        <w:rPr>
          <w:szCs w:val="28"/>
        </w:rPr>
      </w:pPr>
      <w:r>
        <w:rPr>
          <w:rFonts w:hint="eastAsia"/>
          <w:szCs w:val="28"/>
        </w:rPr>
        <w:t>符号</w:t>
      </w:r>
      <w:bookmarkEnd w:id="10"/>
    </w:p>
    <w:tbl>
      <w:tblPr>
        <w:tblStyle w:val="19"/>
        <w:tblW w:w="779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7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2" w:hRule="exact"/>
        </w:trPr>
        <w:tc>
          <w:tcPr>
            <w:tcW w:w="7797" w:type="dxa"/>
          </w:tcPr>
          <w:p>
            <w:pPr>
              <w:spacing w:line="491" w:lineRule="exact"/>
              <w:ind w:firstLine="105" w:firstLineChars="50"/>
              <w:jc w:val="left"/>
            </w:pPr>
            <w:r>
              <w:rPr>
                <w:rFonts w:hint="eastAsia" w:cs="宋体"/>
                <w:szCs w:val="21"/>
              </w:rPr>
              <w:t>c</w:t>
            </w:r>
            <w:r>
              <w:rPr>
                <w:rFonts w:hint="eastAsia" w:ascii="黑体" w:hAnsi="黑体" w:eastAsia="黑体" w:cs="黑体"/>
                <w:sz w:val="24"/>
                <w:szCs w:val="24"/>
                <w:shd w:val="clear" w:color="auto" w:fill="FFFFFF"/>
              </w:rPr>
              <w:t>——</w:t>
            </w:r>
            <w:r>
              <w:rPr>
                <w:rFonts w:hint="eastAsia" w:cs="宋体"/>
                <w:szCs w:val="21"/>
                <w:shd w:val="clear" w:color="auto" w:fill="FFFFFF"/>
              </w:rPr>
              <w:t>玻璃和陶瓷再生细骨料混凝土比热容；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2" w:hRule="exact"/>
        </w:trPr>
        <w:tc>
          <w:tcPr>
            <w:tcW w:w="7797" w:type="dxa"/>
          </w:tcPr>
          <w:p>
            <w:pPr>
              <w:spacing w:line="491" w:lineRule="exact"/>
              <w:ind w:firstLine="120" w:firstLineChars="50"/>
              <w:jc w:val="left"/>
            </w:pPr>
            <w:r>
              <w:rPr>
                <w:rFonts w:hint="eastAsia" w:cs="宋体"/>
                <w:sz w:val="24"/>
                <w:szCs w:val="24"/>
              </w:rPr>
              <w:t>E</w:t>
            </w:r>
            <w:r>
              <w:rPr>
                <w:rFonts w:hint="eastAsia" w:cs="宋体"/>
                <w:szCs w:val="21"/>
                <w:vertAlign w:val="subscript"/>
              </w:rPr>
              <w:t>C</w:t>
            </w:r>
            <w:r>
              <w:rPr>
                <w:rFonts w:hint="eastAsia" w:ascii="黑体" w:hAnsi="黑体" w:eastAsia="黑体" w:cs="黑体"/>
                <w:sz w:val="24"/>
                <w:szCs w:val="24"/>
                <w:shd w:val="clear" w:color="auto" w:fill="FFFFFF"/>
              </w:rPr>
              <w:t>——</w:t>
            </w:r>
            <w:r>
              <w:rPr>
                <w:rFonts w:hint="eastAsia" w:cs="宋体"/>
                <w:szCs w:val="21"/>
              </w:rPr>
              <w:t>玻璃和陶瓷再生细骨料</w:t>
            </w:r>
            <w:r>
              <w:rPr>
                <w:rFonts w:cs="宋体"/>
                <w:szCs w:val="21"/>
              </w:rPr>
              <w:t>混凝土弹性模量</w:t>
            </w:r>
            <w:r>
              <w:rPr>
                <w:rFonts w:hint="eastAsia" w:cs="宋体"/>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2" w:hRule="exact"/>
        </w:trPr>
        <w:tc>
          <w:tcPr>
            <w:tcW w:w="7797" w:type="dxa"/>
          </w:tcPr>
          <w:p>
            <w:pPr>
              <w:spacing w:line="491" w:lineRule="exact"/>
              <w:jc w:val="left"/>
              <w:rPr>
                <w:position w:val="-12"/>
              </w:rPr>
            </w:pPr>
            <w:r>
              <w:rPr>
                <w:rFonts w:hint="eastAsia"/>
                <w:position w:val="-12"/>
              </w:rPr>
              <w:object>
                <v:shape id="_x0000_i1025" o:spt="75" type="#_x0000_t75" style="height:18.7pt;width:13.65pt;" o:ole="t" filled="f" o:preferrelative="t" stroked="f" coordsize="21600,21600">
                  <v:path/>
                  <v:fill on="f" focussize="0,0"/>
                  <v:stroke on="f" joinstyle="miter"/>
                  <v:imagedata r:id="rId11" o:title=""/>
                  <o:lock v:ext="edit" aspectratio="t"/>
                  <w10:wrap type="none"/>
                  <w10:anchorlock/>
                </v:shape>
                <o:OLEObject Type="Embed" ProgID="Equation.3" ShapeID="_x0000_i1025" DrawAspect="Content" ObjectID="_1468075725" r:id="rId10">
                  <o:LockedField>false</o:LockedField>
                </o:OLEObject>
              </w:object>
            </w:r>
            <w:r>
              <w:rPr>
                <w:rFonts w:hint="eastAsia" w:ascii="黑体" w:hAnsi="黑体" w:eastAsia="黑体" w:cs="黑体"/>
                <w:sz w:val="24"/>
                <w:szCs w:val="24"/>
                <w:shd w:val="clear" w:color="auto" w:fill="FFFFFF"/>
              </w:rPr>
              <w:t>——</w:t>
            </w:r>
            <w:r>
              <w:rPr>
                <w:rFonts w:hint="eastAsia" w:cs="宋体"/>
                <w:szCs w:val="21"/>
              </w:rPr>
              <w:t>玻璃和陶瓷再生细骨料</w:t>
            </w:r>
            <w:r>
              <w:rPr>
                <w:rFonts w:cs="宋体"/>
                <w:szCs w:val="21"/>
              </w:rPr>
              <w:t>混凝土轴心抗压强度设计值</w:t>
            </w:r>
            <w:r>
              <w:rPr>
                <w:rFonts w:hint="eastAsia" w:cs="宋体"/>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2" w:hRule="exact"/>
        </w:trPr>
        <w:tc>
          <w:tcPr>
            <w:tcW w:w="7797" w:type="dxa"/>
          </w:tcPr>
          <w:p>
            <w:pPr>
              <w:spacing w:line="491" w:lineRule="exact"/>
              <w:jc w:val="left"/>
            </w:pPr>
            <w:r>
              <w:rPr>
                <w:rFonts w:hint="eastAsia"/>
                <w:position w:val="-12"/>
              </w:rPr>
              <w:object>
                <v:shape id="_x0000_i1026" o:spt="75" type="#_x0000_t75" style="height:18.7pt;width:17.3pt;" o:ole="t" filled="f" o:preferrelative="t" stroked="f" coordsize="21600,21600">
                  <v:path/>
                  <v:fill on="f" focussize="0,0"/>
                  <v:stroke on="f" joinstyle="miter"/>
                  <v:imagedata r:id="rId13" gain="86231f" o:title=""/>
                  <o:lock v:ext="edit" aspectratio="t"/>
                  <w10:wrap type="none"/>
                  <w10:anchorlock/>
                </v:shape>
                <o:OLEObject Type="Embed" ProgID="Equation.3" ShapeID="_x0000_i1026" DrawAspect="Content" ObjectID="_1468075726" r:id="rId12">
                  <o:LockedField>false</o:LockedField>
                </o:OLEObject>
              </w:object>
            </w:r>
            <w:r>
              <w:rPr>
                <w:rFonts w:hint="eastAsia" w:ascii="黑体" w:hAnsi="黑体" w:eastAsia="黑体" w:cs="黑体"/>
                <w:sz w:val="24"/>
                <w:szCs w:val="24"/>
                <w:shd w:val="clear" w:color="auto" w:fill="FFFFFF"/>
              </w:rPr>
              <w:t>——</w:t>
            </w:r>
            <w:r>
              <w:rPr>
                <w:rFonts w:hint="eastAsia" w:cs="宋体"/>
                <w:szCs w:val="21"/>
              </w:rPr>
              <w:t>玻璃和陶瓷再生细骨料</w:t>
            </w:r>
            <w:r>
              <w:rPr>
                <w:rFonts w:cs="宋体"/>
                <w:szCs w:val="21"/>
              </w:rPr>
              <w:t>混凝土轴心抗压强度</w:t>
            </w:r>
            <w:r>
              <w:rPr>
                <w:rFonts w:hint="eastAsia" w:cs="宋体"/>
                <w:szCs w:val="21"/>
              </w:rPr>
              <w:t>标准</w:t>
            </w:r>
            <w:r>
              <w:rPr>
                <w:rFonts w:cs="宋体"/>
                <w:szCs w:val="21"/>
              </w:rPr>
              <w:t>值</w:t>
            </w:r>
            <w:r>
              <w:rPr>
                <w:rFonts w:hint="eastAsia" w:cs="宋体"/>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2" w:hRule="exact"/>
        </w:trPr>
        <w:tc>
          <w:tcPr>
            <w:tcW w:w="7797" w:type="dxa"/>
          </w:tcPr>
          <w:p>
            <w:pPr>
              <w:spacing w:line="491" w:lineRule="exact"/>
              <w:jc w:val="left"/>
            </w:pPr>
            <w:r>
              <w:rPr>
                <w:rFonts w:hint="eastAsia"/>
                <w:position w:val="-12"/>
              </w:rPr>
              <w:object>
                <v:shape id="_x0000_i1027" o:spt="75" type="#_x0000_t75" style="height:18.7pt;width:15.05pt;" o:ole="t" filled="f" o:preferrelative="t" stroked="f" coordsize="21600,21600">
                  <v:path/>
                  <v:fill on="f" focussize="0,0"/>
                  <v:stroke on="f" joinstyle="miter"/>
                  <v:imagedata r:id="rId15" o:title=""/>
                  <o:lock v:ext="edit" aspectratio="t"/>
                  <w10:wrap type="none"/>
                  <w10:anchorlock/>
                </v:shape>
                <o:OLEObject Type="Embed" ProgID="Equation.3" ShapeID="_x0000_i1027" DrawAspect="Content" ObjectID="_1468075727" r:id="rId14">
                  <o:LockedField>false</o:LockedField>
                </o:OLEObject>
              </w:object>
            </w:r>
            <w:r>
              <w:rPr>
                <w:rFonts w:hint="eastAsia" w:ascii="黑体" w:hAnsi="黑体" w:eastAsia="黑体" w:cs="黑体"/>
                <w:sz w:val="24"/>
                <w:szCs w:val="24"/>
                <w:shd w:val="clear" w:color="auto" w:fill="FFFFFF"/>
              </w:rPr>
              <w:t>——</w:t>
            </w:r>
            <w:r>
              <w:rPr>
                <w:rFonts w:hint="eastAsia" w:cs="宋体"/>
                <w:szCs w:val="21"/>
              </w:rPr>
              <w:t>玻璃和陶瓷再生细骨料</w:t>
            </w:r>
            <w:r>
              <w:rPr>
                <w:rFonts w:cs="宋体"/>
                <w:szCs w:val="21"/>
              </w:rPr>
              <w:t>混凝土轴心抗压疲劳强度设计值；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2" w:hRule="exact"/>
        </w:trPr>
        <w:tc>
          <w:tcPr>
            <w:tcW w:w="7797" w:type="dxa"/>
          </w:tcPr>
          <w:p>
            <w:pPr>
              <w:spacing w:line="491" w:lineRule="exact"/>
              <w:jc w:val="left"/>
              <w:rPr>
                <w:position w:val="-12"/>
              </w:rPr>
            </w:pPr>
            <w:r>
              <w:rPr>
                <w:rFonts w:hint="eastAsia"/>
                <w:position w:val="-12"/>
              </w:rPr>
              <w:object>
                <v:shape id="_x0000_i1028" o:spt="75" type="#_x0000_t75" style="height:18.7pt;width:11.85pt;" o:ole="t" filled="f" o:preferrelative="t" stroked="f" coordsize="21600,21600">
                  <v:path/>
                  <v:fill on="f" focussize="0,0"/>
                  <v:stroke on="f" joinstyle="miter"/>
                  <v:imagedata r:id="rId17" o:title=""/>
                  <o:lock v:ext="edit" aspectratio="t"/>
                  <w10:wrap type="none"/>
                  <w10:anchorlock/>
                </v:shape>
                <o:OLEObject Type="Embed" ProgID="Equation.3" ShapeID="_x0000_i1028" DrawAspect="Content" ObjectID="_1468075728" r:id="rId16">
                  <o:LockedField>false</o:LockedField>
                </o:OLEObject>
              </w:object>
            </w:r>
            <w:r>
              <w:rPr>
                <w:rFonts w:hint="eastAsia" w:ascii="黑体" w:hAnsi="黑体" w:eastAsia="黑体" w:cs="黑体"/>
                <w:sz w:val="24"/>
                <w:szCs w:val="24"/>
                <w:shd w:val="clear" w:color="auto" w:fill="FFFFFF"/>
              </w:rPr>
              <w:t>——</w:t>
            </w:r>
            <w:r>
              <w:rPr>
                <w:rFonts w:hint="eastAsia" w:cs="宋体"/>
                <w:szCs w:val="21"/>
              </w:rPr>
              <w:t>玻璃和陶瓷再生细骨料</w:t>
            </w:r>
            <w:r>
              <w:rPr>
                <w:rFonts w:cs="宋体"/>
                <w:szCs w:val="21"/>
              </w:rPr>
              <w:t>混凝土轴心抗拉强度设计值</w:t>
            </w:r>
            <w:r>
              <w:rPr>
                <w:rFonts w:hint="eastAsia" w:cs="宋体"/>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2" w:hRule="exact"/>
        </w:trPr>
        <w:tc>
          <w:tcPr>
            <w:tcW w:w="7797" w:type="dxa"/>
          </w:tcPr>
          <w:p>
            <w:pPr>
              <w:spacing w:line="491" w:lineRule="exact"/>
              <w:jc w:val="left"/>
            </w:pPr>
            <w:r>
              <w:rPr>
                <w:rFonts w:hint="eastAsia"/>
                <w:position w:val="-12"/>
              </w:rPr>
              <w:object>
                <v:shape id="_x0000_i1029" o:spt="75" type="#_x0000_t75" style="height:18.7pt;width:16.4pt;" o:ole="t" filled="f" o:preferrelative="t" stroked="f" coordsize="21600,21600">
                  <v:path/>
                  <v:fill on="f" focussize="0,0"/>
                  <v:stroke on="f" joinstyle="miter"/>
                  <v:imagedata r:id="rId19" gain="86231f" o:title=""/>
                  <o:lock v:ext="edit" aspectratio="t"/>
                  <w10:wrap type="none"/>
                  <w10:anchorlock/>
                </v:shape>
                <o:OLEObject Type="Embed" ProgID="Equation.3" ShapeID="_x0000_i1029" DrawAspect="Content" ObjectID="_1468075729" r:id="rId18">
                  <o:LockedField>false</o:LockedField>
                </o:OLEObject>
              </w:object>
            </w:r>
            <w:r>
              <w:rPr>
                <w:rFonts w:hint="eastAsia" w:ascii="黑体" w:hAnsi="黑体" w:eastAsia="黑体" w:cs="黑体"/>
                <w:sz w:val="24"/>
                <w:szCs w:val="24"/>
                <w:shd w:val="clear" w:color="auto" w:fill="FFFFFF"/>
              </w:rPr>
              <w:t>——</w:t>
            </w:r>
            <w:r>
              <w:rPr>
                <w:rFonts w:hint="eastAsia" w:cs="宋体"/>
                <w:szCs w:val="21"/>
              </w:rPr>
              <w:t>玻璃和陶瓷再生细骨料</w:t>
            </w:r>
            <w:r>
              <w:rPr>
                <w:rFonts w:cs="宋体"/>
                <w:szCs w:val="21"/>
              </w:rPr>
              <w:t>混凝土轴心抗拉强度</w:t>
            </w:r>
            <w:r>
              <w:rPr>
                <w:rFonts w:hint="eastAsia" w:cs="宋体"/>
                <w:szCs w:val="21"/>
              </w:rPr>
              <w:t>标准</w:t>
            </w:r>
            <w:r>
              <w:rPr>
                <w:rFonts w:cs="宋体"/>
                <w:szCs w:val="21"/>
              </w:rPr>
              <w:t>值</w:t>
            </w:r>
            <w:r>
              <w:rPr>
                <w:rFonts w:hint="eastAsia" w:cs="宋体"/>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2" w:hRule="exact"/>
        </w:trPr>
        <w:tc>
          <w:tcPr>
            <w:tcW w:w="7797" w:type="dxa"/>
          </w:tcPr>
          <w:p>
            <w:pPr>
              <w:spacing w:line="491" w:lineRule="exact"/>
              <w:jc w:val="left"/>
            </w:pPr>
            <w:r>
              <w:rPr>
                <w:rFonts w:hint="eastAsia"/>
                <w:position w:val="-12"/>
              </w:rPr>
              <w:object>
                <v:shape id="_x0000_i1030" o:spt="75" type="#_x0000_t75" style="height:18.7pt;width:15.05pt;" o:ole="t" filled="f" o:preferrelative="t" stroked="f" coordsize="21600,21600">
                  <v:path/>
                  <v:fill on="f" focussize="0,0"/>
                  <v:stroke on="f" joinstyle="miter"/>
                  <v:imagedata r:id="rId21" o:title=""/>
                  <o:lock v:ext="edit" aspectratio="t"/>
                  <w10:wrap type="none"/>
                  <w10:anchorlock/>
                </v:shape>
                <o:OLEObject Type="Embed" ProgID="Equation.3" ShapeID="_x0000_i1030" DrawAspect="Content" ObjectID="_1468075730" r:id="rId20">
                  <o:LockedField>false</o:LockedField>
                </o:OLEObject>
              </w:object>
            </w:r>
            <w:r>
              <w:rPr>
                <w:rFonts w:hint="eastAsia" w:ascii="黑体" w:hAnsi="黑体" w:eastAsia="黑体" w:cs="黑体"/>
                <w:sz w:val="24"/>
                <w:szCs w:val="24"/>
                <w:shd w:val="clear" w:color="auto" w:fill="FFFFFF"/>
              </w:rPr>
              <w:t>——</w:t>
            </w:r>
            <w:r>
              <w:rPr>
                <w:rFonts w:hint="eastAsia" w:cs="宋体"/>
                <w:szCs w:val="21"/>
              </w:rPr>
              <w:t>玻璃和陶瓷再生细骨料</w:t>
            </w:r>
            <w:r>
              <w:rPr>
                <w:rFonts w:cs="宋体"/>
                <w:szCs w:val="21"/>
              </w:rPr>
              <w:t>混凝士轴心抗拉疲劳强度设计值</w:t>
            </w:r>
            <w:r>
              <w:rPr>
                <w:rFonts w:hint="eastAsia" w:cs="宋体"/>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2" w:hRule="exact"/>
        </w:trPr>
        <w:tc>
          <w:tcPr>
            <w:tcW w:w="7797" w:type="dxa"/>
          </w:tcPr>
          <w:p>
            <w:pPr>
              <w:spacing w:line="491" w:lineRule="exact"/>
              <w:jc w:val="left"/>
            </w:pPr>
            <w:r>
              <w:rPr>
                <w:rFonts w:hint="eastAsia"/>
                <w:position w:val="-12"/>
              </w:rPr>
              <w:object>
                <v:shape id="_x0000_i1031" o:spt="75" type="#_x0000_t75" style="height:18.7pt;width:15.05pt;" o:ole="t" filled="f" o:preferrelative="t" stroked="f" coordsize="21600,21600">
                  <v:path/>
                  <v:fill on="f" focussize="0,0"/>
                  <v:stroke on="f" joinstyle="miter"/>
                  <v:imagedata r:id="rId23" o:title=""/>
                  <o:lock v:ext="edit" aspectratio="t"/>
                  <w10:wrap type="none"/>
                  <w10:anchorlock/>
                </v:shape>
                <o:OLEObject Type="Embed" ProgID="Equation.3" ShapeID="_x0000_i1031" DrawAspect="Content" ObjectID="_1468075731" r:id="rId22">
                  <o:LockedField>false</o:LockedField>
                </o:OLEObject>
              </w:object>
            </w:r>
            <w:r>
              <w:rPr>
                <w:rFonts w:hint="eastAsia" w:ascii="黑体" w:hAnsi="黑体" w:eastAsia="黑体" w:cs="黑体"/>
                <w:sz w:val="24"/>
                <w:szCs w:val="24"/>
                <w:shd w:val="clear" w:color="auto" w:fill="FFFFFF"/>
              </w:rPr>
              <w:t>——</w:t>
            </w:r>
            <w:r>
              <w:rPr>
                <w:rFonts w:hint="eastAsia" w:cs="宋体"/>
                <w:szCs w:val="21"/>
              </w:rPr>
              <w:t>玻璃和陶瓷再生细骨料</w:t>
            </w:r>
            <w:r>
              <w:rPr>
                <w:rFonts w:cs="宋体"/>
                <w:szCs w:val="21"/>
              </w:rPr>
              <w:t>混凝土剪切变形模量</w:t>
            </w:r>
            <w:r>
              <w:rPr>
                <w:rFonts w:hint="eastAsia" w:cs="宋体"/>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2" w:hRule="exact"/>
        </w:trPr>
        <w:tc>
          <w:tcPr>
            <w:tcW w:w="7797" w:type="dxa"/>
          </w:tcPr>
          <w:p>
            <w:pPr>
              <w:spacing w:line="491" w:lineRule="exact"/>
              <w:jc w:val="left"/>
            </w:pPr>
            <w:r>
              <w:rPr>
                <w:rFonts w:hint="eastAsia"/>
                <w:position w:val="-12"/>
              </w:rPr>
              <w:object>
                <v:shape id="_x0000_i1032" o:spt="75" type="#_x0000_t75" style="height:18.7pt;width:12.75pt;" o:ole="t" filled="f" o:preferrelative="t" stroked="f" coordsize="21600,21600">
                  <v:path/>
                  <v:fill on="f" focussize="0,0"/>
                  <v:stroke on="f" joinstyle="miter"/>
                  <v:imagedata r:id="rId25" o:title=""/>
                  <o:lock v:ext="edit" aspectratio="t"/>
                  <w10:wrap type="none"/>
                  <w10:anchorlock/>
                </v:shape>
                <o:OLEObject Type="Embed" ProgID="Equation.3" ShapeID="_x0000_i1032" DrawAspect="Content" ObjectID="_1468075732" r:id="rId24">
                  <o:LockedField>false</o:LockedField>
                </o:OLEObject>
              </w:object>
            </w:r>
            <w:r>
              <w:rPr>
                <w:rFonts w:hint="eastAsia" w:ascii="黑体" w:hAnsi="黑体" w:eastAsia="黑体" w:cs="黑体"/>
                <w:sz w:val="24"/>
                <w:szCs w:val="24"/>
                <w:shd w:val="clear" w:color="auto" w:fill="FFFFFF"/>
              </w:rPr>
              <w:t>——</w:t>
            </w:r>
            <w:r>
              <w:rPr>
                <w:rFonts w:hint="eastAsia" w:cs="黑体" w:asciiTheme="minorEastAsia" w:hAnsiTheme="minorEastAsia" w:eastAsiaTheme="minorEastAsia"/>
                <w:szCs w:val="21"/>
                <w:shd w:val="clear" w:color="auto" w:fill="FFFFFF"/>
              </w:rPr>
              <w:t>玻璃和陶瓷</w:t>
            </w:r>
            <w:r>
              <w:rPr>
                <w:rFonts w:hint="eastAsia" w:cs="宋体"/>
                <w:szCs w:val="21"/>
              </w:rPr>
              <w:t>再生细骨料</w:t>
            </w:r>
            <w:r>
              <w:rPr>
                <w:rFonts w:cs="宋体"/>
                <w:szCs w:val="21"/>
              </w:rPr>
              <w:t>混凝土温度线膨胀系数</w:t>
            </w:r>
            <w:r>
              <w:rPr>
                <w:rFonts w:hint="eastAsia" w:cs="宋体"/>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2" w:hRule="exact"/>
        </w:trPr>
        <w:tc>
          <w:tcPr>
            <w:tcW w:w="7797" w:type="dxa"/>
          </w:tcPr>
          <w:p>
            <w:pPr>
              <w:spacing w:line="491" w:lineRule="exact"/>
              <w:jc w:val="left"/>
            </w:pPr>
            <w:r>
              <w:rPr>
                <w:rFonts w:hint="eastAsia"/>
              </w:rPr>
              <w:t>δ</w:t>
            </w:r>
            <w:r>
              <w:rPr>
                <w:rFonts w:hint="eastAsia"/>
                <w:sz w:val="18"/>
                <w:szCs w:val="20"/>
              </w:rPr>
              <w:t>s</w:t>
            </w:r>
            <w:r>
              <w:rPr>
                <w:rFonts w:hint="eastAsia" w:ascii="黑体" w:hAnsi="黑体" w:eastAsia="黑体" w:cs="黑体"/>
                <w:sz w:val="24"/>
                <w:szCs w:val="24"/>
                <w:shd w:val="clear" w:color="auto" w:fill="FFFFFF"/>
              </w:rPr>
              <w:t>——</w:t>
            </w:r>
            <w:r>
              <w:rPr>
                <w:rFonts w:hint="eastAsia" w:cs="宋体"/>
                <w:szCs w:val="21"/>
              </w:rPr>
              <w:t>玻璃和陶瓷再生细骨料</w:t>
            </w:r>
            <w:r>
              <w:rPr>
                <w:rFonts w:cs="宋体"/>
                <w:szCs w:val="21"/>
              </w:rPr>
              <w:t>取代率</w:t>
            </w:r>
            <w:r>
              <w:rPr>
                <w:rFonts w:hint="eastAsia" w:cs="宋体"/>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2" w:hRule="exact"/>
        </w:trPr>
        <w:tc>
          <w:tcPr>
            <w:tcW w:w="7797" w:type="dxa"/>
          </w:tcPr>
          <w:p>
            <w:pPr>
              <w:spacing w:line="491" w:lineRule="exact"/>
              <w:jc w:val="left"/>
            </w:pPr>
            <w:r>
              <w:rPr>
                <w:rFonts w:cs="宋体"/>
                <w:szCs w:val="21"/>
              </w:rPr>
              <w:t>λ</w:t>
            </w:r>
            <w:r>
              <w:rPr>
                <w:rFonts w:hint="eastAsia" w:ascii="黑体" w:hAnsi="黑体" w:eastAsia="黑体" w:cs="黑体"/>
                <w:sz w:val="24"/>
                <w:szCs w:val="24"/>
                <w:shd w:val="clear" w:color="auto" w:fill="FFFFFF"/>
              </w:rPr>
              <w:t>——</w:t>
            </w:r>
            <w:r>
              <w:rPr>
                <w:rFonts w:hint="eastAsia" w:cs="宋体"/>
                <w:szCs w:val="21"/>
              </w:rPr>
              <w:t>玻璃和陶瓷再生细骨料</w:t>
            </w:r>
            <w:r>
              <w:rPr>
                <w:rFonts w:cs="宋体"/>
                <w:szCs w:val="21"/>
              </w:rPr>
              <w:t>混凝土导热系数</w:t>
            </w:r>
            <w:r>
              <w:rPr>
                <w:rFonts w:hint="eastAsia" w:cs="宋体"/>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2" w:hRule="exact"/>
        </w:trPr>
        <w:tc>
          <w:tcPr>
            <w:tcW w:w="7797" w:type="dxa"/>
          </w:tcPr>
          <w:p>
            <w:pPr>
              <w:spacing w:line="491" w:lineRule="exact"/>
              <w:jc w:val="left"/>
              <w:rPr>
                <w:szCs w:val="21"/>
              </w:rPr>
            </w:pPr>
            <w:r>
              <w:rPr>
                <w:rFonts w:hint="eastAsia"/>
                <w:position w:val="-12"/>
              </w:rPr>
              <w:object>
                <v:shape id="_x0000_i1033" o:spt="75" type="#_x0000_t75" style="height:18.7pt;width:11.85pt;" o:ole="t" filled="f" o:preferrelative="t" stroked="f" coordsize="21600,21600">
                  <v:path/>
                  <v:fill on="f" focussize="0,0"/>
                  <v:stroke on="f" joinstyle="miter"/>
                  <v:imagedata r:id="rId27" o:title=""/>
                  <o:lock v:ext="edit" aspectratio="t"/>
                  <w10:wrap type="none"/>
                  <w10:anchorlock/>
                </v:shape>
                <o:OLEObject Type="Embed" ProgID="Equation.3" ShapeID="_x0000_i1033" DrawAspect="Content" ObjectID="_1468075733" r:id="rId26">
                  <o:LockedField>false</o:LockedField>
                </o:OLEObject>
              </w:object>
            </w:r>
            <w:r>
              <w:rPr>
                <w:rFonts w:hint="eastAsia" w:ascii="黑体" w:hAnsi="黑体" w:eastAsia="黑体" w:cs="黑体"/>
                <w:sz w:val="24"/>
                <w:szCs w:val="24"/>
                <w:shd w:val="clear" w:color="auto" w:fill="FFFFFF"/>
              </w:rPr>
              <w:t>——</w:t>
            </w:r>
            <w:r>
              <w:rPr>
                <w:rFonts w:hint="eastAsia" w:cs="宋体"/>
                <w:szCs w:val="21"/>
              </w:rPr>
              <w:t>玻璃和陶瓷再生细骨料</w:t>
            </w:r>
            <w:r>
              <w:rPr>
                <w:rFonts w:cs="宋体"/>
                <w:szCs w:val="21"/>
              </w:rPr>
              <w:t>混凝土</w:t>
            </w:r>
            <w:r>
              <w:rPr>
                <w:rFonts w:hint="eastAsia" w:cs="宋体"/>
                <w:szCs w:val="21"/>
              </w:rPr>
              <w:t>泊松比；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2" w:hRule="exact"/>
        </w:trPr>
        <w:tc>
          <w:tcPr>
            <w:tcW w:w="7797" w:type="dxa"/>
          </w:tcPr>
          <w:p>
            <w:pPr>
              <w:spacing w:line="491" w:lineRule="exact"/>
              <w:jc w:val="left"/>
            </w:pPr>
            <w:r>
              <w:rPr>
                <w:rFonts w:hint="eastAsia"/>
                <w:szCs w:val="21"/>
              </w:rPr>
              <w:t>σ</w:t>
            </w:r>
            <w:r>
              <w:rPr>
                <w:rFonts w:hint="eastAsia" w:ascii="黑体" w:hAnsi="黑体" w:eastAsia="黑体" w:cs="黑体"/>
                <w:sz w:val="24"/>
                <w:szCs w:val="24"/>
                <w:shd w:val="clear" w:color="auto" w:fill="FFFFFF"/>
              </w:rPr>
              <w:t>——</w:t>
            </w:r>
            <w:r>
              <w:rPr>
                <w:rFonts w:hint="eastAsia" w:cs="宋体"/>
                <w:szCs w:val="21"/>
              </w:rPr>
              <w:t>玻璃和陶瓷再生细骨料</w:t>
            </w:r>
            <w:r>
              <w:rPr>
                <w:rFonts w:cs="宋体"/>
                <w:szCs w:val="21"/>
              </w:rPr>
              <w:t>混凝土抗压强度标准差</w:t>
            </w:r>
            <w:r>
              <w:rPr>
                <w:rFonts w:hint="eastAsia" w:cs="宋体"/>
                <w:szCs w:val="21"/>
              </w:rPr>
              <w:t>。</w:t>
            </w:r>
          </w:p>
        </w:tc>
      </w:tr>
    </w:tbl>
    <w:p>
      <w:r>
        <w:rPr>
          <w:rFonts w:hint="eastAsia"/>
        </w:rPr>
        <w:br w:type="page"/>
      </w:r>
    </w:p>
    <w:p>
      <w:pPr>
        <w:pStyle w:val="24"/>
        <w:spacing w:before="156" w:after="156"/>
        <w:rPr>
          <w:sz w:val="32"/>
          <w:szCs w:val="32"/>
        </w:rPr>
      </w:pPr>
      <w:bookmarkStart w:id="11" w:name="_Toc29547161"/>
      <w:r>
        <w:rPr>
          <w:rFonts w:hint="eastAsia"/>
          <w:sz w:val="32"/>
          <w:szCs w:val="32"/>
        </w:rPr>
        <w:t>基本规定</w:t>
      </w:r>
      <w:bookmarkEnd w:id="11"/>
    </w:p>
    <w:p>
      <w:pPr>
        <w:pStyle w:val="27"/>
        <w:spacing w:beforeLines="0" w:afterLines="0" w:line="360" w:lineRule="auto"/>
      </w:pPr>
      <w:r>
        <w:rPr>
          <w:rFonts w:ascii="宋体" w:eastAsia="宋体" w:hAnsiTheme="minorEastAsia"/>
          <w:szCs w:val="21"/>
        </w:rPr>
        <w:t>玻璃/陶瓷再生细骨料可用于混凝土、砂浆</w:t>
      </w:r>
      <w:r>
        <w:rPr>
          <w:rFonts w:hint="eastAsia"/>
        </w:rPr>
        <w:t>。</w:t>
      </w:r>
      <w:r>
        <w:t xml:space="preserve"> </w:t>
      </w:r>
    </w:p>
    <w:p>
      <w:pPr>
        <w:pStyle w:val="54"/>
        <w:spacing w:line="360" w:lineRule="auto"/>
      </w:pPr>
      <w:r>
        <w:rPr>
          <w:rFonts w:hint="eastAsia"/>
        </w:rPr>
        <w:t>被污染或腐蚀的废弃玻璃、陶瓷不得用于制备玻璃/陶瓷再生细骨料。</w:t>
      </w:r>
    </w:p>
    <w:p>
      <w:pPr>
        <w:pStyle w:val="54"/>
        <w:spacing w:line="360" w:lineRule="auto"/>
      </w:pPr>
      <w:r>
        <w:rPr>
          <w:rFonts w:hint="eastAsia" w:asciiTheme="minorEastAsia" w:eastAsiaTheme="minorEastAsia"/>
        </w:rPr>
        <w:t>玻璃/陶瓷再生细骨料混凝土、砂浆</w:t>
      </w:r>
      <w:r>
        <w:rPr>
          <w:rFonts w:ascii="Calibri" w:hAnsi="Calibri" w:cs="Times New Roman"/>
          <w:kern w:val="0"/>
        </w:rPr>
        <w:t>的质量应符合现行有关产品标准的规定</w:t>
      </w:r>
      <w:r>
        <w:rPr>
          <w:rFonts w:hint="eastAsia" w:ascii="Calibri" w:hAnsi="Calibri" w:cs="Times New Roman"/>
          <w:kern w:val="0"/>
        </w:rPr>
        <w:t>，</w:t>
      </w:r>
      <w:r>
        <w:rPr>
          <w:rFonts w:ascii="Calibri" w:hAnsi="Calibri" w:cs="Times New Roman"/>
          <w:kern w:val="0"/>
        </w:rPr>
        <w:t>其应用中的设计、施工、验收应符合现行有关工程建设标准的规定</w:t>
      </w:r>
      <w:r>
        <w:rPr>
          <w:rFonts w:hint="eastAsia"/>
        </w:rPr>
        <w:t>。</w:t>
      </w:r>
    </w:p>
    <w:p>
      <w:pPr>
        <w:pStyle w:val="54"/>
      </w:pPr>
      <w:r>
        <w:rPr>
          <w:rFonts w:hint="eastAsia"/>
        </w:rPr>
        <w:br w:type="page"/>
      </w:r>
    </w:p>
    <w:p>
      <w:pPr>
        <w:pStyle w:val="24"/>
        <w:spacing w:beforeLines="0" w:afterLines="0"/>
        <w:rPr>
          <w:sz w:val="32"/>
          <w:szCs w:val="32"/>
        </w:rPr>
      </w:pPr>
      <w:bookmarkStart w:id="12" w:name="_Toc29547162"/>
      <w:r>
        <w:rPr>
          <w:rFonts w:hint="eastAsia"/>
          <w:sz w:val="32"/>
          <w:szCs w:val="32"/>
        </w:rPr>
        <w:t>玻璃/陶瓷再生细骨料</w:t>
      </w:r>
      <w:bookmarkEnd w:id="12"/>
    </w:p>
    <w:p>
      <w:pPr>
        <w:pStyle w:val="51"/>
        <w:spacing w:before="156" w:after="156"/>
        <w:rPr>
          <w:vanish/>
        </w:rPr>
      </w:pPr>
      <w:bookmarkStart w:id="13" w:name="_Toc8388"/>
      <w:bookmarkEnd w:id="13"/>
      <w:bookmarkStart w:id="14" w:name="_Toc31487"/>
      <w:bookmarkEnd w:id="14"/>
      <w:bookmarkStart w:id="15" w:name="_Toc5150"/>
      <w:bookmarkEnd w:id="15"/>
      <w:bookmarkStart w:id="16" w:name="_Toc29547163"/>
      <w:bookmarkEnd w:id="16"/>
    </w:p>
    <w:p>
      <w:pPr>
        <w:pStyle w:val="51"/>
        <w:spacing w:before="156" w:after="156"/>
      </w:pPr>
      <w:bookmarkStart w:id="17" w:name="_Toc29547164"/>
      <w:r>
        <w:rPr>
          <w:rFonts w:hint="eastAsia"/>
          <w:szCs w:val="28"/>
        </w:rPr>
        <w:t>技术要求</w:t>
      </w:r>
      <w:bookmarkEnd w:id="17"/>
    </w:p>
    <w:p>
      <w:pPr>
        <w:pStyle w:val="27"/>
        <w:spacing w:beforeLines="0" w:afterLines="0" w:line="360" w:lineRule="auto"/>
        <w:rPr>
          <w:rFonts w:ascii="宋体" w:eastAsia="宋体" w:hAnsiTheme="minorEastAsia"/>
          <w:szCs w:val="21"/>
        </w:rPr>
      </w:pPr>
      <w:r>
        <w:rPr>
          <w:rFonts w:hint="eastAsia" w:ascii="宋体" w:eastAsia="宋体" w:hAnsiTheme="minorEastAsia"/>
          <w:szCs w:val="21"/>
        </w:rPr>
        <w:t>用于混凝土和砂浆的玻璃/陶瓷再生细骨料的性能应符合表</w:t>
      </w:r>
      <w:r>
        <w:rPr>
          <w:rFonts w:ascii="宋体" w:eastAsia="宋体" w:hAnsiTheme="minorEastAsia"/>
          <w:szCs w:val="21"/>
        </w:rPr>
        <w:t>4.1.1的规定</w:t>
      </w:r>
      <w:r>
        <w:rPr>
          <w:rFonts w:hint="eastAsia" w:ascii="宋体" w:eastAsia="宋体" w:hAnsiTheme="minorEastAsia"/>
          <w:szCs w:val="21"/>
        </w:rPr>
        <w:t>。</w:t>
      </w:r>
    </w:p>
    <w:p>
      <w:pPr>
        <w:spacing w:line="360" w:lineRule="auto"/>
        <w:jc w:val="center"/>
        <w:rPr>
          <w:rFonts w:cs="Times New Roman"/>
          <w:szCs w:val="21"/>
        </w:rPr>
      </w:pPr>
      <w:r>
        <w:rPr>
          <w:rFonts w:hint="eastAsia" w:cs="Times New Roman"/>
          <w:szCs w:val="21"/>
        </w:rPr>
        <w:t>表4.1.1用于混凝土和砂浆的玻璃/陶瓷再生细骨料技术要求</w:t>
      </w:r>
    </w:p>
    <w:tbl>
      <w:tblPr>
        <w:tblStyle w:val="79"/>
        <w:tblW w:w="8364" w:type="dxa"/>
        <w:tblInd w:w="59" w:type="dxa"/>
        <w:tblLayout w:type="fixed"/>
        <w:tblCellMar>
          <w:top w:w="0" w:type="dxa"/>
          <w:left w:w="57" w:type="dxa"/>
          <w:bottom w:w="0" w:type="dxa"/>
          <w:right w:w="57" w:type="dxa"/>
        </w:tblCellMar>
      </w:tblPr>
      <w:tblGrid>
        <w:gridCol w:w="2002"/>
        <w:gridCol w:w="2251"/>
        <w:gridCol w:w="2040"/>
        <w:gridCol w:w="2071"/>
      </w:tblGrid>
      <w:tr>
        <w:tblPrEx>
          <w:tblLayout w:type="fixed"/>
          <w:tblCellMar>
            <w:top w:w="0" w:type="dxa"/>
            <w:left w:w="57" w:type="dxa"/>
            <w:bottom w:w="0" w:type="dxa"/>
            <w:right w:w="57" w:type="dxa"/>
          </w:tblCellMar>
        </w:tblPrEx>
        <w:trPr>
          <w:trHeight w:val="397" w:hRule="atLeast"/>
        </w:trPr>
        <w:tc>
          <w:tcPr>
            <w:tcW w:w="4253" w:type="dxa"/>
            <w:gridSpan w:val="2"/>
            <w:tcBorders>
              <w:top w:val="single" w:color="auto" w:sz="6" w:space="0"/>
              <w:left w:val="single" w:color="auto" w:sz="6" w:space="0"/>
              <w:bottom w:val="nil"/>
              <w:right w:val="single" w:color="auto" w:sz="6" w:space="0"/>
            </w:tcBorders>
            <w:vAlign w:val="center"/>
          </w:tcPr>
          <w:p>
            <w:pPr>
              <w:jc w:val="center"/>
              <w:rPr>
                <w:rFonts w:eastAsia="Times New Roman" w:cs="Times New Roman"/>
                <w:szCs w:val="21"/>
              </w:rPr>
            </w:pPr>
            <w:r>
              <w:rPr>
                <w:rFonts w:hint="eastAsia" w:eastAsia="Times New Roman" w:cs="Times New Roman"/>
                <w:szCs w:val="21"/>
              </w:rPr>
              <w:t>项目</w:t>
            </w:r>
          </w:p>
        </w:tc>
        <w:tc>
          <w:tcPr>
            <w:tcW w:w="2040" w:type="dxa"/>
            <w:tcBorders>
              <w:top w:val="single" w:color="auto" w:sz="6" w:space="0"/>
              <w:left w:val="nil"/>
              <w:bottom w:val="nil"/>
              <w:right w:val="single" w:color="auto" w:sz="4" w:space="0"/>
            </w:tcBorders>
            <w:vAlign w:val="center"/>
          </w:tcPr>
          <w:p>
            <w:pPr>
              <w:jc w:val="center"/>
              <w:rPr>
                <w:rFonts w:eastAsia="Times New Roman" w:cs="Times New Roman"/>
                <w:szCs w:val="21"/>
              </w:rPr>
            </w:pPr>
            <w:r>
              <w:rPr>
                <w:rFonts w:hint="eastAsia" w:eastAsia="Times New Roman" w:cs="Times New Roman"/>
                <w:szCs w:val="21"/>
              </w:rPr>
              <w:t>玻璃再生细骨料</w:t>
            </w:r>
          </w:p>
        </w:tc>
        <w:tc>
          <w:tcPr>
            <w:tcW w:w="2071" w:type="dxa"/>
            <w:tcBorders>
              <w:top w:val="single" w:color="auto" w:sz="6" w:space="0"/>
              <w:left w:val="nil"/>
              <w:bottom w:val="nil"/>
              <w:right w:val="single" w:color="auto" w:sz="6" w:space="0"/>
            </w:tcBorders>
            <w:vAlign w:val="center"/>
          </w:tcPr>
          <w:p>
            <w:pPr>
              <w:jc w:val="center"/>
              <w:rPr>
                <w:rFonts w:eastAsia="Times New Roman" w:cs="Times New Roman"/>
                <w:szCs w:val="21"/>
              </w:rPr>
            </w:pPr>
            <w:r>
              <w:rPr>
                <w:rFonts w:hint="eastAsia" w:eastAsia="Times New Roman" w:cs="Times New Roman"/>
                <w:szCs w:val="21"/>
              </w:rPr>
              <w:t>陶瓷再生细骨料</w:t>
            </w:r>
          </w:p>
        </w:tc>
      </w:tr>
      <w:tr>
        <w:tblPrEx>
          <w:tblLayout w:type="fixed"/>
          <w:tblCellMar>
            <w:top w:w="0" w:type="dxa"/>
            <w:left w:w="57" w:type="dxa"/>
            <w:bottom w:w="0" w:type="dxa"/>
            <w:right w:w="57" w:type="dxa"/>
          </w:tblCellMar>
        </w:tblPrEx>
        <w:trPr>
          <w:trHeight w:val="369" w:hRule="atLeast"/>
        </w:trPr>
        <w:tc>
          <w:tcPr>
            <w:tcW w:w="2002" w:type="dxa"/>
            <w:vMerge w:val="restart"/>
            <w:tcBorders>
              <w:top w:val="single" w:color="auto" w:sz="6" w:space="0"/>
              <w:left w:val="single" w:color="auto" w:sz="6" w:space="0"/>
              <w:bottom w:val="single" w:color="auto" w:sz="6" w:space="0"/>
              <w:right w:val="single" w:color="auto" w:sz="6" w:space="0"/>
            </w:tcBorders>
            <w:vAlign w:val="center"/>
          </w:tcPr>
          <w:p>
            <w:pPr>
              <w:jc w:val="center"/>
              <w:rPr>
                <w:rFonts w:eastAsia="Times New Roman" w:cs="宋体"/>
                <w:szCs w:val="21"/>
              </w:rPr>
            </w:pPr>
            <w:r>
              <w:rPr>
                <w:rFonts w:hint="eastAsia" w:eastAsia="Times New Roman" w:cs="宋体"/>
                <w:szCs w:val="21"/>
              </w:rPr>
              <w:t>微粉含量</w:t>
            </w:r>
          </w:p>
          <w:p>
            <w:pPr>
              <w:jc w:val="center"/>
              <w:rPr>
                <w:rFonts w:eastAsia="Times New Roman" w:cs="宋体"/>
                <w:szCs w:val="21"/>
              </w:rPr>
            </w:pPr>
            <w:r>
              <w:rPr>
                <w:rFonts w:hint="eastAsia" w:eastAsia="Times New Roman" w:cs="宋体"/>
                <w:szCs w:val="21"/>
              </w:rPr>
              <w:t>（按质量计，%）</w:t>
            </w:r>
          </w:p>
        </w:tc>
        <w:tc>
          <w:tcPr>
            <w:tcW w:w="2251" w:type="dxa"/>
            <w:tcBorders>
              <w:top w:val="single" w:color="auto" w:sz="6" w:space="0"/>
              <w:left w:val="nil"/>
              <w:bottom w:val="single" w:color="auto" w:sz="6" w:space="0"/>
              <w:right w:val="single" w:color="auto" w:sz="6" w:space="0"/>
            </w:tcBorders>
            <w:vAlign w:val="center"/>
          </w:tcPr>
          <w:p>
            <w:pPr>
              <w:jc w:val="center"/>
              <w:rPr>
                <w:rFonts w:eastAsia="Times New Roman" w:cs="宋体"/>
                <w:szCs w:val="21"/>
              </w:rPr>
            </w:pPr>
            <w:r>
              <w:rPr>
                <w:rFonts w:hint="eastAsia" w:eastAsia="Times New Roman" w:cs="宋体"/>
                <w:szCs w:val="21"/>
              </w:rPr>
              <w:t>MB 值＜1.40或合格</w:t>
            </w:r>
          </w:p>
        </w:tc>
        <w:tc>
          <w:tcPr>
            <w:tcW w:w="2040" w:type="dxa"/>
            <w:tcBorders>
              <w:top w:val="single" w:color="auto" w:sz="6" w:space="0"/>
              <w:left w:val="nil"/>
              <w:bottom w:val="single" w:color="auto" w:sz="6" w:space="0"/>
              <w:right w:val="single" w:color="auto" w:sz="4" w:space="0"/>
            </w:tcBorders>
            <w:vAlign w:val="center"/>
          </w:tcPr>
          <w:p>
            <w:pPr>
              <w:jc w:val="center"/>
              <w:rPr>
                <w:rFonts w:eastAsia="Times New Roman" w:cs="宋体"/>
                <w:szCs w:val="21"/>
              </w:rPr>
            </w:pPr>
            <w:r>
              <w:rPr>
                <w:rFonts w:hint="eastAsia" w:eastAsia="Times New Roman" w:cs="宋体"/>
                <w:szCs w:val="21"/>
              </w:rPr>
              <w:t>≤10</w:t>
            </w:r>
          </w:p>
        </w:tc>
        <w:tc>
          <w:tcPr>
            <w:tcW w:w="2071" w:type="dxa"/>
            <w:tcBorders>
              <w:top w:val="single" w:color="auto" w:sz="6" w:space="0"/>
              <w:left w:val="nil"/>
              <w:bottom w:val="single" w:color="auto" w:sz="6" w:space="0"/>
              <w:right w:val="single" w:color="auto" w:sz="6" w:space="0"/>
            </w:tcBorders>
            <w:vAlign w:val="center"/>
          </w:tcPr>
          <w:p>
            <w:pPr>
              <w:jc w:val="center"/>
              <w:rPr>
                <w:rFonts w:eastAsia="Times New Roman" w:cs="宋体"/>
                <w:szCs w:val="21"/>
              </w:rPr>
            </w:pPr>
            <w:r>
              <w:rPr>
                <w:rFonts w:hint="eastAsia" w:eastAsia="Times New Roman" w:cs="宋体"/>
                <w:szCs w:val="21"/>
              </w:rPr>
              <w:t>≤5</w:t>
            </w:r>
          </w:p>
        </w:tc>
      </w:tr>
      <w:tr>
        <w:tblPrEx>
          <w:tblLayout w:type="fixed"/>
          <w:tblCellMar>
            <w:top w:w="0" w:type="dxa"/>
            <w:left w:w="57" w:type="dxa"/>
            <w:bottom w:w="0" w:type="dxa"/>
            <w:right w:w="57" w:type="dxa"/>
          </w:tblCellMar>
        </w:tblPrEx>
        <w:trPr>
          <w:trHeight w:val="369" w:hRule="atLeast"/>
        </w:trPr>
        <w:tc>
          <w:tcPr>
            <w:tcW w:w="2002"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eastAsia="Times New Roman" w:cs="宋体"/>
                <w:szCs w:val="21"/>
              </w:rPr>
            </w:pPr>
          </w:p>
        </w:tc>
        <w:tc>
          <w:tcPr>
            <w:tcW w:w="2251" w:type="dxa"/>
            <w:tcBorders>
              <w:top w:val="single" w:color="auto" w:sz="6" w:space="0"/>
              <w:left w:val="nil"/>
              <w:bottom w:val="single" w:color="auto" w:sz="6" w:space="0"/>
              <w:right w:val="single" w:color="auto" w:sz="6" w:space="0"/>
            </w:tcBorders>
            <w:vAlign w:val="center"/>
          </w:tcPr>
          <w:p>
            <w:pPr>
              <w:jc w:val="center"/>
              <w:rPr>
                <w:rFonts w:eastAsia="Times New Roman" w:cs="宋体"/>
                <w:szCs w:val="21"/>
              </w:rPr>
            </w:pPr>
            <w:r>
              <w:rPr>
                <w:rFonts w:hint="eastAsia" w:eastAsia="Times New Roman" w:cs="宋体"/>
                <w:szCs w:val="21"/>
              </w:rPr>
              <w:t>MB 值≥1.40或不合格</w:t>
            </w:r>
          </w:p>
        </w:tc>
        <w:tc>
          <w:tcPr>
            <w:tcW w:w="2040" w:type="dxa"/>
            <w:tcBorders>
              <w:top w:val="single" w:color="auto" w:sz="6" w:space="0"/>
              <w:left w:val="nil"/>
              <w:bottom w:val="single" w:color="auto" w:sz="6" w:space="0"/>
              <w:right w:val="single" w:color="auto" w:sz="4" w:space="0"/>
            </w:tcBorders>
            <w:vAlign w:val="center"/>
          </w:tcPr>
          <w:p>
            <w:pPr>
              <w:jc w:val="center"/>
              <w:rPr>
                <w:rFonts w:eastAsia="Times New Roman" w:cs="宋体"/>
                <w:szCs w:val="21"/>
              </w:rPr>
            </w:pPr>
            <w:r>
              <w:rPr>
                <w:rFonts w:hint="eastAsia" w:eastAsia="Times New Roman" w:cs="宋体"/>
                <w:szCs w:val="21"/>
              </w:rPr>
              <w:t>≤5</w:t>
            </w:r>
          </w:p>
        </w:tc>
        <w:tc>
          <w:tcPr>
            <w:tcW w:w="2071" w:type="dxa"/>
            <w:tcBorders>
              <w:top w:val="single" w:color="auto" w:sz="6" w:space="0"/>
              <w:left w:val="nil"/>
              <w:bottom w:val="single" w:color="auto" w:sz="6" w:space="0"/>
              <w:right w:val="single" w:color="auto" w:sz="6" w:space="0"/>
            </w:tcBorders>
            <w:vAlign w:val="center"/>
          </w:tcPr>
          <w:p>
            <w:pPr>
              <w:jc w:val="center"/>
              <w:rPr>
                <w:rFonts w:eastAsia="Times New Roman" w:cs="宋体"/>
                <w:szCs w:val="21"/>
              </w:rPr>
            </w:pPr>
            <w:r>
              <w:rPr>
                <w:rFonts w:hint="eastAsia" w:eastAsia="Times New Roman" w:cs="宋体"/>
                <w:szCs w:val="21"/>
              </w:rPr>
              <w:t>≤3</w:t>
            </w:r>
          </w:p>
        </w:tc>
      </w:tr>
      <w:tr>
        <w:tblPrEx>
          <w:tblLayout w:type="fixed"/>
          <w:tblCellMar>
            <w:top w:w="0" w:type="dxa"/>
            <w:left w:w="57" w:type="dxa"/>
            <w:bottom w:w="0" w:type="dxa"/>
            <w:right w:w="57" w:type="dxa"/>
          </w:tblCellMar>
        </w:tblPrEx>
        <w:trPr>
          <w:trHeight w:val="369" w:hRule="atLeast"/>
        </w:trPr>
        <w:tc>
          <w:tcPr>
            <w:tcW w:w="4253" w:type="dxa"/>
            <w:gridSpan w:val="2"/>
            <w:tcBorders>
              <w:top w:val="single" w:color="auto" w:sz="6" w:space="0"/>
              <w:left w:val="single" w:color="auto" w:sz="6" w:space="0"/>
              <w:bottom w:val="single" w:color="auto" w:sz="6" w:space="0"/>
              <w:right w:val="single" w:color="auto" w:sz="6" w:space="0"/>
            </w:tcBorders>
            <w:vAlign w:val="center"/>
          </w:tcPr>
          <w:p>
            <w:pPr>
              <w:jc w:val="center"/>
              <w:rPr>
                <w:rFonts w:eastAsia="Times New Roman" w:cs="宋体"/>
                <w:szCs w:val="21"/>
              </w:rPr>
            </w:pPr>
            <w:r>
              <w:rPr>
                <w:rFonts w:hint="eastAsia" w:eastAsia="Times New Roman" w:cs="宋体"/>
                <w:szCs w:val="21"/>
              </w:rPr>
              <w:t>表观密度（kg/m</w:t>
            </w:r>
            <w:r>
              <w:rPr>
                <w:rFonts w:hint="eastAsia" w:eastAsia="Times New Roman" w:cs="宋体"/>
                <w:szCs w:val="21"/>
                <w:vertAlign w:val="superscript"/>
              </w:rPr>
              <w:t>3</w:t>
            </w:r>
            <w:r>
              <w:rPr>
                <w:rFonts w:hint="eastAsia" w:eastAsia="Times New Roman" w:cs="宋体"/>
                <w:szCs w:val="21"/>
              </w:rPr>
              <w:t>）</w:t>
            </w:r>
          </w:p>
        </w:tc>
        <w:tc>
          <w:tcPr>
            <w:tcW w:w="2040" w:type="dxa"/>
            <w:tcBorders>
              <w:top w:val="single" w:color="auto" w:sz="6" w:space="0"/>
              <w:left w:val="nil"/>
              <w:bottom w:val="single" w:color="auto" w:sz="6" w:space="0"/>
              <w:right w:val="single" w:color="auto" w:sz="4" w:space="0"/>
            </w:tcBorders>
            <w:vAlign w:val="center"/>
          </w:tcPr>
          <w:p>
            <w:pPr>
              <w:jc w:val="center"/>
              <w:rPr>
                <w:rFonts w:eastAsia="Times New Roman" w:cs="宋体"/>
                <w:szCs w:val="21"/>
              </w:rPr>
            </w:pPr>
            <w:r>
              <w:rPr>
                <w:rFonts w:hint="eastAsia" w:eastAsia="Times New Roman" w:cs="宋体"/>
                <w:szCs w:val="21"/>
              </w:rPr>
              <w:t>≥2450</w:t>
            </w:r>
          </w:p>
        </w:tc>
        <w:tc>
          <w:tcPr>
            <w:tcW w:w="2071" w:type="dxa"/>
            <w:tcBorders>
              <w:top w:val="single" w:color="auto" w:sz="6" w:space="0"/>
              <w:left w:val="nil"/>
              <w:bottom w:val="single" w:color="auto" w:sz="6" w:space="0"/>
              <w:right w:val="single" w:color="auto" w:sz="6" w:space="0"/>
            </w:tcBorders>
            <w:vAlign w:val="center"/>
          </w:tcPr>
          <w:p>
            <w:pPr>
              <w:jc w:val="center"/>
              <w:rPr>
                <w:rFonts w:eastAsia="Times New Roman" w:cs="宋体"/>
                <w:szCs w:val="21"/>
              </w:rPr>
            </w:pPr>
            <w:r>
              <w:rPr>
                <w:rFonts w:hint="eastAsia" w:eastAsia="Times New Roman" w:cs="宋体"/>
                <w:szCs w:val="21"/>
              </w:rPr>
              <w:t>≥2250</w:t>
            </w:r>
          </w:p>
        </w:tc>
      </w:tr>
      <w:tr>
        <w:tblPrEx>
          <w:tblLayout w:type="fixed"/>
          <w:tblCellMar>
            <w:top w:w="0" w:type="dxa"/>
            <w:left w:w="57" w:type="dxa"/>
            <w:bottom w:w="0" w:type="dxa"/>
            <w:right w:w="57" w:type="dxa"/>
          </w:tblCellMar>
        </w:tblPrEx>
        <w:trPr>
          <w:trHeight w:val="369" w:hRule="atLeast"/>
        </w:trPr>
        <w:tc>
          <w:tcPr>
            <w:tcW w:w="4253" w:type="dxa"/>
            <w:gridSpan w:val="2"/>
            <w:tcBorders>
              <w:top w:val="single" w:color="auto" w:sz="6" w:space="0"/>
              <w:left w:val="single" w:color="auto" w:sz="6" w:space="0"/>
              <w:bottom w:val="single" w:color="auto" w:sz="6" w:space="0"/>
              <w:right w:val="single" w:color="auto" w:sz="6" w:space="0"/>
            </w:tcBorders>
            <w:vAlign w:val="center"/>
          </w:tcPr>
          <w:p>
            <w:pPr>
              <w:jc w:val="center"/>
              <w:rPr>
                <w:rFonts w:eastAsia="Times New Roman" w:cs="宋体"/>
                <w:szCs w:val="21"/>
              </w:rPr>
            </w:pPr>
            <w:r>
              <w:rPr>
                <w:rFonts w:hint="eastAsia" w:eastAsia="Times New Roman" w:cs="宋体"/>
                <w:szCs w:val="21"/>
              </w:rPr>
              <w:t>松散堆积密度（kg/m</w:t>
            </w:r>
            <w:r>
              <w:rPr>
                <w:rFonts w:hint="eastAsia" w:eastAsia="Times New Roman" w:cs="宋体"/>
                <w:szCs w:val="21"/>
                <w:vertAlign w:val="superscript"/>
              </w:rPr>
              <w:t>3</w:t>
            </w:r>
            <w:r>
              <w:rPr>
                <w:rFonts w:hint="eastAsia" w:eastAsia="Times New Roman" w:cs="宋体"/>
                <w:szCs w:val="21"/>
              </w:rPr>
              <w:t>）</w:t>
            </w:r>
          </w:p>
        </w:tc>
        <w:tc>
          <w:tcPr>
            <w:tcW w:w="2040" w:type="dxa"/>
            <w:tcBorders>
              <w:top w:val="single" w:color="auto" w:sz="6" w:space="0"/>
              <w:left w:val="nil"/>
              <w:bottom w:val="single" w:color="auto" w:sz="6" w:space="0"/>
              <w:right w:val="single" w:color="auto" w:sz="4" w:space="0"/>
            </w:tcBorders>
            <w:vAlign w:val="center"/>
          </w:tcPr>
          <w:p>
            <w:pPr>
              <w:jc w:val="center"/>
              <w:rPr>
                <w:rFonts w:eastAsia="Times New Roman" w:cs="宋体"/>
                <w:szCs w:val="21"/>
              </w:rPr>
            </w:pPr>
            <w:r>
              <w:rPr>
                <w:rFonts w:hint="eastAsia" w:eastAsia="Times New Roman" w:cs="宋体"/>
                <w:szCs w:val="21"/>
              </w:rPr>
              <w:t>≥1300</w:t>
            </w:r>
          </w:p>
        </w:tc>
        <w:tc>
          <w:tcPr>
            <w:tcW w:w="2071" w:type="dxa"/>
            <w:tcBorders>
              <w:top w:val="single" w:color="auto" w:sz="6" w:space="0"/>
              <w:left w:val="nil"/>
              <w:bottom w:val="single" w:color="auto" w:sz="6" w:space="0"/>
              <w:right w:val="single" w:color="auto" w:sz="6" w:space="0"/>
            </w:tcBorders>
            <w:vAlign w:val="center"/>
          </w:tcPr>
          <w:p>
            <w:pPr>
              <w:jc w:val="center"/>
              <w:rPr>
                <w:rFonts w:eastAsia="Times New Roman" w:cs="宋体"/>
                <w:szCs w:val="21"/>
              </w:rPr>
            </w:pPr>
            <w:r>
              <w:rPr>
                <w:rFonts w:hint="eastAsia" w:eastAsia="Times New Roman" w:cs="宋体"/>
                <w:szCs w:val="21"/>
              </w:rPr>
              <w:t>≥1200</w:t>
            </w:r>
          </w:p>
        </w:tc>
      </w:tr>
      <w:tr>
        <w:tblPrEx>
          <w:tblLayout w:type="fixed"/>
          <w:tblCellMar>
            <w:top w:w="0" w:type="dxa"/>
            <w:left w:w="57" w:type="dxa"/>
            <w:bottom w:w="0" w:type="dxa"/>
            <w:right w:w="57" w:type="dxa"/>
          </w:tblCellMar>
        </w:tblPrEx>
        <w:trPr>
          <w:trHeight w:val="369" w:hRule="atLeast"/>
        </w:trPr>
        <w:tc>
          <w:tcPr>
            <w:tcW w:w="4253" w:type="dxa"/>
            <w:gridSpan w:val="2"/>
            <w:tcBorders>
              <w:top w:val="single" w:color="auto" w:sz="6" w:space="0"/>
              <w:left w:val="single" w:color="auto" w:sz="6" w:space="0"/>
              <w:bottom w:val="single" w:color="auto" w:sz="6" w:space="0"/>
              <w:right w:val="single" w:color="auto" w:sz="6" w:space="0"/>
            </w:tcBorders>
            <w:vAlign w:val="center"/>
          </w:tcPr>
          <w:p>
            <w:pPr>
              <w:jc w:val="center"/>
              <w:rPr>
                <w:rFonts w:eastAsia="Times New Roman" w:cs="宋体"/>
                <w:szCs w:val="21"/>
              </w:rPr>
            </w:pPr>
            <w:r>
              <w:rPr>
                <w:rFonts w:hint="eastAsia" w:eastAsia="Times New Roman" w:cs="宋体"/>
                <w:szCs w:val="21"/>
              </w:rPr>
              <w:t>空隙率（%）</w:t>
            </w:r>
          </w:p>
        </w:tc>
        <w:tc>
          <w:tcPr>
            <w:tcW w:w="2040" w:type="dxa"/>
            <w:tcBorders>
              <w:top w:val="single" w:color="auto" w:sz="6" w:space="0"/>
              <w:left w:val="nil"/>
              <w:bottom w:val="single" w:color="auto" w:sz="6" w:space="0"/>
              <w:right w:val="single" w:color="auto" w:sz="4" w:space="0"/>
            </w:tcBorders>
            <w:vAlign w:val="center"/>
          </w:tcPr>
          <w:p>
            <w:pPr>
              <w:jc w:val="center"/>
              <w:rPr>
                <w:rFonts w:eastAsia="Times New Roman" w:cs="宋体"/>
                <w:szCs w:val="21"/>
              </w:rPr>
            </w:pPr>
            <w:r>
              <w:rPr>
                <w:rFonts w:hint="eastAsia" w:eastAsia="Times New Roman" w:cs="宋体"/>
                <w:szCs w:val="21"/>
              </w:rPr>
              <w:t>＜48</w:t>
            </w:r>
          </w:p>
        </w:tc>
        <w:tc>
          <w:tcPr>
            <w:tcW w:w="2071" w:type="dxa"/>
            <w:tcBorders>
              <w:top w:val="single" w:color="auto" w:sz="6" w:space="0"/>
              <w:left w:val="nil"/>
              <w:bottom w:val="single" w:color="auto" w:sz="6" w:space="0"/>
              <w:right w:val="single" w:color="auto" w:sz="6" w:space="0"/>
            </w:tcBorders>
            <w:vAlign w:val="center"/>
          </w:tcPr>
          <w:p>
            <w:pPr>
              <w:jc w:val="center"/>
              <w:rPr>
                <w:rFonts w:eastAsia="Times New Roman" w:cs="宋体"/>
                <w:szCs w:val="21"/>
              </w:rPr>
            </w:pPr>
            <w:r>
              <w:rPr>
                <w:rFonts w:hint="eastAsia" w:eastAsia="Times New Roman" w:cs="宋体"/>
                <w:szCs w:val="21"/>
              </w:rPr>
              <w:t>＜52</w:t>
            </w:r>
          </w:p>
        </w:tc>
      </w:tr>
      <w:tr>
        <w:tblPrEx>
          <w:tblLayout w:type="fixed"/>
          <w:tblCellMar>
            <w:top w:w="0" w:type="dxa"/>
            <w:left w:w="57" w:type="dxa"/>
            <w:bottom w:w="0" w:type="dxa"/>
            <w:right w:w="57" w:type="dxa"/>
          </w:tblCellMar>
        </w:tblPrEx>
        <w:trPr>
          <w:trHeight w:val="344" w:hRule="atLeast"/>
        </w:trPr>
        <w:tc>
          <w:tcPr>
            <w:tcW w:w="4253" w:type="dxa"/>
            <w:gridSpan w:val="2"/>
            <w:vMerge w:val="restart"/>
            <w:tcBorders>
              <w:top w:val="single" w:color="auto" w:sz="6" w:space="0"/>
              <w:left w:val="single" w:color="auto" w:sz="6" w:space="0"/>
              <w:right w:val="single" w:color="auto" w:sz="6" w:space="0"/>
            </w:tcBorders>
            <w:vAlign w:val="center"/>
          </w:tcPr>
          <w:p>
            <w:pPr>
              <w:jc w:val="center"/>
              <w:rPr>
                <w:rFonts w:eastAsia="Times New Roman" w:cs="宋体"/>
                <w:szCs w:val="21"/>
              </w:rPr>
            </w:pPr>
            <w:r>
              <w:rPr>
                <w:rFonts w:hint="eastAsia" w:eastAsia="Times New Roman" w:cs="宋体"/>
                <w:szCs w:val="21"/>
              </w:rPr>
              <w:t>碱集料反应</w:t>
            </w:r>
          </w:p>
        </w:tc>
        <w:tc>
          <w:tcPr>
            <w:tcW w:w="4111" w:type="dxa"/>
            <w:gridSpan w:val="2"/>
            <w:tcBorders>
              <w:top w:val="single" w:color="auto" w:sz="6" w:space="0"/>
              <w:left w:val="nil"/>
              <w:bottom w:val="single" w:color="auto" w:sz="6" w:space="0"/>
              <w:right w:val="single" w:color="auto" w:sz="6" w:space="0"/>
            </w:tcBorders>
            <w:vAlign w:val="center"/>
          </w:tcPr>
          <w:p>
            <w:pPr>
              <w:jc w:val="center"/>
              <w:rPr>
                <w:rFonts w:eastAsia="Times New Roman" w:cs="宋体"/>
                <w:szCs w:val="21"/>
              </w:rPr>
            </w:pPr>
            <w:r>
              <w:rPr>
                <w:rFonts w:hint="eastAsia" w:eastAsia="Times New Roman" w:cs="宋体"/>
                <w:szCs w:val="21"/>
              </w:rPr>
              <w:t>试件无裂缝、酥裂或胶体外溢现象</w:t>
            </w:r>
          </w:p>
        </w:tc>
      </w:tr>
      <w:tr>
        <w:tblPrEx>
          <w:tblLayout w:type="fixed"/>
          <w:tblCellMar>
            <w:top w:w="0" w:type="dxa"/>
            <w:left w:w="57" w:type="dxa"/>
            <w:bottom w:w="0" w:type="dxa"/>
            <w:right w:w="57" w:type="dxa"/>
          </w:tblCellMar>
        </w:tblPrEx>
        <w:trPr>
          <w:trHeight w:val="343" w:hRule="atLeast"/>
        </w:trPr>
        <w:tc>
          <w:tcPr>
            <w:tcW w:w="4253" w:type="dxa"/>
            <w:gridSpan w:val="2"/>
            <w:vMerge w:val="continue"/>
            <w:tcBorders>
              <w:left w:val="single" w:color="auto" w:sz="6" w:space="0"/>
              <w:right w:val="single" w:color="auto" w:sz="6" w:space="0"/>
            </w:tcBorders>
            <w:vAlign w:val="center"/>
          </w:tcPr>
          <w:p>
            <w:pPr>
              <w:jc w:val="center"/>
              <w:rPr>
                <w:rFonts w:eastAsia="Times New Roman" w:cs="宋体"/>
                <w:szCs w:val="21"/>
              </w:rPr>
            </w:pPr>
          </w:p>
        </w:tc>
        <w:tc>
          <w:tcPr>
            <w:tcW w:w="4111" w:type="dxa"/>
            <w:gridSpan w:val="2"/>
            <w:tcBorders>
              <w:top w:val="single" w:color="auto" w:sz="6" w:space="0"/>
              <w:left w:val="nil"/>
              <w:bottom w:val="single" w:color="auto" w:sz="6" w:space="0"/>
              <w:right w:val="single" w:color="auto" w:sz="6" w:space="0"/>
            </w:tcBorders>
            <w:vAlign w:val="center"/>
          </w:tcPr>
          <w:p>
            <w:pPr>
              <w:jc w:val="center"/>
              <w:rPr>
                <w:rFonts w:eastAsia="Times New Roman" w:cs="宋体"/>
                <w:szCs w:val="21"/>
              </w:rPr>
            </w:pPr>
            <w:r>
              <w:rPr>
                <w:rFonts w:hint="eastAsia" w:eastAsia="Times New Roman" w:cs="宋体"/>
                <w:szCs w:val="21"/>
              </w:rPr>
              <w:t>膨胀率＜0.10%</w:t>
            </w:r>
          </w:p>
        </w:tc>
      </w:tr>
      <w:tr>
        <w:tblPrEx>
          <w:tblLayout w:type="fixed"/>
          <w:tblCellMar>
            <w:top w:w="0" w:type="dxa"/>
            <w:left w:w="57" w:type="dxa"/>
            <w:bottom w:w="0" w:type="dxa"/>
            <w:right w:w="57" w:type="dxa"/>
          </w:tblCellMar>
        </w:tblPrEx>
        <w:trPr>
          <w:trHeight w:val="687" w:hRule="atLeast"/>
        </w:trPr>
        <w:tc>
          <w:tcPr>
            <w:tcW w:w="4253" w:type="dxa"/>
            <w:gridSpan w:val="2"/>
            <w:tcBorders>
              <w:top w:val="single" w:color="auto" w:sz="6" w:space="0"/>
              <w:left w:val="single" w:color="auto" w:sz="6" w:space="0"/>
              <w:bottom w:val="single" w:color="auto" w:sz="6" w:space="0"/>
              <w:right w:val="single" w:color="auto" w:sz="6" w:space="0"/>
            </w:tcBorders>
            <w:vAlign w:val="center"/>
          </w:tcPr>
          <w:p>
            <w:pPr>
              <w:jc w:val="center"/>
              <w:rPr>
                <w:rFonts w:eastAsia="Times New Roman" w:cs="宋体"/>
                <w:szCs w:val="21"/>
              </w:rPr>
            </w:pPr>
            <w:r>
              <w:rPr>
                <w:rFonts w:hint="eastAsia" w:eastAsia="Times New Roman" w:cs="宋体"/>
                <w:szCs w:val="21"/>
              </w:rPr>
              <w:t>颗粒级配、坚固性、有害物质含量、单级最大压碎指标值</w:t>
            </w:r>
          </w:p>
        </w:tc>
        <w:tc>
          <w:tcPr>
            <w:tcW w:w="4111" w:type="dxa"/>
            <w:gridSpan w:val="2"/>
            <w:tcBorders>
              <w:top w:val="single" w:color="auto" w:sz="6" w:space="0"/>
              <w:left w:val="nil"/>
              <w:bottom w:val="single" w:color="auto" w:sz="6" w:space="0"/>
              <w:right w:val="single" w:color="auto" w:sz="6" w:space="0"/>
            </w:tcBorders>
            <w:vAlign w:val="center"/>
          </w:tcPr>
          <w:p>
            <w:pPr>
              <w:jc w:val="center"/>
              <w:rPr>
                <w:rFonts w:eastAsia="Times New Roman" w:cs="宋体"/>
                <w:szCs w:val="21"/>
              </w:rPr>
            </w:pPr>
            <w:r>
              <w:rPr>
                <w:rFonts w:hint="eastAsia" w:eastAsia="Times New Roman" w:cs="宋体"/>
                <w:szCs w:val="21"/>
              </w:rPr>
              <w:t>应符合现行国家标准《混凝土和砂浆用再生细骨料》GB/T 25176的规定</w:t>
            </w:r>
          </w:p>
        </w:tc>
      </w:tr>
    </w:tbl>
    <w:p>
      <w:pPr>
        <w:pStyle w:val="27"/>
        <w:spacing w:beforeLines="0" w:afterLines="0" w:line="360" w:lineRule="auto"/>
        <w:rPr>
          <w:rFonts w:ascii="宋体" w:eastAsia="宋体" w:hAnsiTheme="minorEastAsia"/>
          <w:szCs w:val="21"/>
          <w:shd w:val="clear" w:color="auto" w:fill="EBF1FA" w:themeFill="background1"/>
        </w:rPr>
      </w:pPr>
      <w:r>
        <w:rPr>
          <w:rFonts w:hint="eastAsia" w:ascii="宋体" w:eastAsia="宋体" w:hAnsiTheme="minorEastAsia"/>
          <w:szCs w:val="21"/>
        </w:rPr>
        <w:t>玻璃/陶瓷再生细骨料的性能试验方法按现行国家标准</w:t>
      </w:r>
      <w:r>
        <w:rPr>
          <w:rFonts w:hint="eastAsia" w:ascii="宋体" w:eastAsia="宋体" w:hAnsiTheme="minorEastAsia"/>
          <w:szCs w:val="21"/>
          <w:shd w:val="clear" w:color="auto" w:fill="EBF1FA" w:themeFill="background1"/>
        </w:rPr>
        <w:t>《混凝土和砂浆用再生细骨料》</w:t>
      </w:r>
      <w:r>
        <w:rPr>
          <w:rFonts w:ascii="宋体" w:eastAsia="宋体" w:hAnsiTheme="minorEastAsia"/>
          <w:szCs w:val="21"/>
          <w:shd w:val="clear" w:color="auto" w:fill="EBF1FA" w:themeFill="background1"/>
        </w:rPr>
        <w:t>GB/T</w:t>
      </w:r>
      <w:r>
        <w:rPr>
          <w:rFonts w:hint="eastAsia" w:ascii="宋体" w:eastAsia="宋体" w:hAnsiTheme="minorEastAsia"/>
          <w:szCs w:val="21"/>
          <w:shd w:val="clear" w:color="auto" w:fill="EBF1FA" w:themeFill="background1"/>
        </w:rPr>
        <w:t xml:space="preserve"> </w:t>
      </w:r>
      <w:r>
        <w:rPr>
          <w:rFonts w:ascii="宋体" w:eastAsia="宋体" w:hAnsiTheme="minorEastAsia"/>
          <w:szCs w:val="21"/>
          <w:shd w:val="clear" w:color="auto" w:fill="EBF1FA" w:themeFill="background1"/>
        </w:rPr>
        <w:t>25176</w:t>
      </w:r>
      <w:r>
        <w:rPr>
          <w:rFonts w:hint="eastAsia" w:ascii="宋体" w:eastAsia="宋体" w:hAnsiTheme="minorEastAsia"/>
          <w:szCs w:val="21"/>
          <w:shd w:val="clear" w:color="auto" w:fill="EBF1FA" w:themeFill="background1"/>
        </w:rPr>
        <w:t>的</w:t>
      </w:r>
      <w:r>
        <w:rPr>
          <w:rFonts w:ascii="宋体" w:eastAsia="宋体" w:hAnsiTheme="minorEastAsia"/>
          <w:szCs w:val="21"/>
          <w:shd w:val="clear" w:color="auto" w:fill="EBF1FA" w:themeFill="background1"/>
        </w:rPr>
        <w:t>规定执行</w:t>
      </w:r>
      <w:r>
        <w:rPr>
          <w:rFonts w:hint="eastAsia" w:ascii="宋体" w:eastAsia="宋体" w:hAnsiTheme="minorEastAsia"/>
          <w:szCs w:val="21"/>
          <w:shd w:val="clear" w:color="auto" w:fill="EBF1FA" w:themeFill="background1"/>
        </w:rPr>
        <w:t>。</w:t>
      </w:r>
    </w:p>
    <w:p>
      <w:pPr>
        <w:pStyle w:val="27"/>
        <w:spacing w:beforeLines="0" w:afterLines="0" w:line="360" w:lineRule="auto"/>
        <w:rPr>
          <w:rFonts w:ascii="宋体" w:eastAsia="宋体" w:hAnsiTheme="minorEastAsia"/>
          <w:szCs w:val="21"/>
          <w:shd w:val="clear" w:color="auto" w:fill="EBF1FA" w:themeFill="background1"/>
        </w:rPr>
      </w:pPr>
      <w:r>
        <w:rPr>
          <w:rFonts w:hint="eastAsia" w:ascii="宋体" w:eastAsia="宋体" w:hAnsiTheme="minorEastAsia"/>
          <w:szCs w:val="21"/>
        </w:rPr>
        <w:t>玻璃</w:t>
      </w:r>
      <w:r>
        <w:rPr>
          <w:rFonts w:ascii="宋体" w:eastAsia="宋体" w:hAnsiTheme="minorEastAsia"/>
          <w:szCs w:val="21"/>
        </w:rPr>
        <w:t>/陶瓷再生细骨料及其制品的放射性应符合现行国家标准</w:t>
      </w:r>
      <w:r>
        <w:rPr>
          <w:rFonts w:ascii="宋体" w:eastAsia="宋体" w:hAnsiTheme="minorEastAsia"/>
          <w:szCs w:val="21"/>
          <w:shd w:val="clear" w:color="auto" w:fill="EBF1FA" w:themeFill="background1"/>
        </w:rPr>
        <w:t>《建筑材料放射性核素限量》GB 6566的规定。</w:t>
      </w:r>
    </w:p>
    <w:p>
      <w:pPr>
        <w:pStyle w:val="51"/>
        <w:spacing w:before="156" w:after="156"/>
        <w:rPr>
          <w:szCs w:val="28"/>
        </w:rPr>
      </w:pPr>
      <w:bookmarkStart w:id="18" w:name="_Toc29547165"/>
      <w:r>
        <w:rPr>
          <w:rFonts w:hint="eastAsia"/>
          <w:szCs w:val="28"/>
        </w:rPr>
        <w:t>进场检验</w:t>
      </w:r>
      <w:bookmarkEnd w:id="18"/>
    </w:p>
    <w:p>
      <w:pPr>
        <w:pStyle w:val="54"/>
        <w:spacing w:line="360" w:lineRule="auto"/>
      </w:pPr>
      <w:r>
        <w:rPr>
          <w:rFonts w:hint="eastAsia"/>
        </w:rPr>
        <w:t>玻璃/陶瓷再生细骨料进场时，应按规定批次检查型式检验报告、出厂检验报告及合格证等质量证明文件。</w:t>
      </w:r>
    </w:p>
    <w:p>
      <w:pPr>
        <w:pStyle w:val="54"/>
        <w:spacing w:line="360" w:lineRule="auto"/>
      </w:pPr>
      <w:r>
        <w:rPr>
          <w:rFonts w:hint="eastAsia"/>
        </w:rPr>
        <w:t>玻璃/陶瓷再生细骨料进场检验应符合下列规定：</w:t>
      </w:r>
    </w:p>
    <w:p>
      <w:pPr>
        <w:pStyle w:val="31"/>
        <w:ind w:left="578" w:hanging="158"/>
      </w:pPr>
      <w:r>
        <w:rPr>
          <w:rFonts w:hint="eastAsia"/>
        </w:rPr>
        <w:t>用于混凝土和砂浆的玻璃/陶瓷再生细骨料，应对其颗粒级配、微粉含量、泥块含量、单级最大压碎指标值、表观密度、松散堆积密度进行检验。当对玻璃/陶瓷再生细骨料质量有怀疑时，可对其坚固性、轻物质含量、有机物含量、硫化物及硫酸盐含量、氯化物含量和碱集料反应进行检验；</w:t>
      </w:r>
    </w:p>
    <w:p>
      <w:pPr>
        <w:pStyle w:val="31"/>
        <w:ind w:left="578" w:hanging="158"/>
      </w:pPr>
      <w:r>
        <w:rPr>
          <w:rFonts w:hint="eastAsia"/>
        </w:rPr>
        <w:t>同一厂家、同一类别、同一规格、同一批次的玻璃/陶瓷再生细骨料，每</w:t>
      </w:r>
      <w:r>
        <w:t>2</w:t>
      </w:r>
      <w:r>
        <w:rPr>
          <w:rFonts w:hint="eastAsia"/>
        </w:rPr>
        <w:t>00t应作为一个检验批，不足</w:t>
      </w:r>
      <w:r>
        <w:t>2</w:t>
      </w:r>
      <w:r>
        <w:rPr>
          <w:rFonts w:hint="eastAsia"/>
        </w:rPr>
        <w:t>00t的应按一批计；</w:t>
      </w:r>
    </w:p>
    <w:p>
      <w:pPr>
        <w:pStyle w:val="31"/>
        <w:ind w:left="578" w:hanging="158"/>
      </w:pPr>
      <w:r>
        <w:rPr>
          <w:rFonts w:hint="eastAsia"/>
        </w:rPr>
        <w:t>玻璃/陶瓷再生细骨料进场检验结果应符合本规程第4.1节的规定。当有一项指标不达要求时，可从同一批产品中加倍取样，对不符合要求的项目进行复检。复检结果合格的，可判定该批产品为合格产品；复检结果不合格的，应判定该批产品为不合格产品。</w:t>
      </w:r>
    </w:p>
    <w:p>
      <w:pPr>
        <w:pStyle w:val="51"/>
        <w:spacing w:before="156" w:after="156"/>
        <w:rPr>
          <w:szCs w:val="28"/>
        </w:rPr>
      </w:pPr>
      <w:bookmarkStart w:id="19" w:name="_Toc29547166"/>
      <w:r>
        <w:rPr>
          <w:rFonts w:hint="eastAsia"/>
          <w:szCs w:val="28"/>
        </w:rPr>
        <w:t>运输和储存</w:t>
      </w:r>
      <w:bookmarkEnd w:id="19"/>
    </w:p>
    <w:p>
      <w:pPr>
        <w:pStyle w:val="54"/>
        <w:spacing w:line="360" w:lineRule="auto"/>
      </w:pPr>
      <w:r>
        <w:rPr>
          <w:rFonts w:hint="eastAsia"/>
        </w:rPr>
        <w:t>玻璃/陶瓷再生细骨料运输时，应采取防止混入杂物、雨淋和粉尘飞扬的措施。</w:t>
      </w:r>
    </w:p>
    <w:p>
      <w:pPr>
        <w:pStyle w:val="54"/>
        <w:spacing w:line="360" w:lineRule="auto"/>
      </w:pPr>
      <w:r>
        <w:rPr>
          <w:rFonts w:hint="eastAsia"/>
        </w:rPr>
        <w:t>玻璃/陶瓷再生细骨料应按厂家、类别、规格分开堆放储存，且应采取防止混入杂物、人为碾压、污染和雨淋的措施，贮存地面应为能排水的硬质地面。</w:t>
      </w:r>
    </w:p>
    <w:p>
      <w:pPr>
        <w:widowControl/>
        <w:jc w:val="left"/>
        <w:rPr>
          <w:rFonts w:hAnsiTheme="minorEastAsia"/>
          <w:szCs w:val="21"/>
        </w:rPr>
      </w:pPr>
      <w:r>
        <w:br w:type="page"/>
      </w:r>
    </w:p>
    <w:p>
      <w:pPr>
        <w:pStyle w:val="24"/>
        <w:spacing w:before="156" w:after="156"/>
        <w:rPr>
          <w:sz w:val="32"/>
          <w:szCs w:val="32"/>
        </w:rPr>
      </w:pPr>
      <w:bookmarkStart w:id="20" w:name="_Toc29547167"/>
      <w:r>
        <w:rPr>
          <w:rFonts w:hint="eastAsia"/>
          <w:sz w:val="32"/>
          <w:szCs w:val="32"/>
        </w:rPr>
        <w:t>玻璃/陶瓷再生细骨料混凝土</w:t>
      </w:r>
      <w:bookmarkEnd w:id="20"/>
    </w:p>
    <w:p>
      <w:pPr>
        <w:pStyle w:val="51"/>
        <w:spacing w:before="156" w:after="156"/>
        <w:rPr>
          <w:vanish/>
        </w:rPr>
      </w:pPr>
      <w:bookmarkStart w:id="21" w:name="_Toc21963"/>
      <w:bookmarkEnd w:id="21"/>
      <w:bookmarkStart w:id="22" w:name="_Toc28418"/>
      <w:bookmarkEnd w:id="22"/>
      <w:bookmarkStart w:id="23" w:name="_Toc29547168"/>
      <w:bookmarkEnd w:id="23"/>
      <w:bookmarkStart w:id="24" w:name="_Toc4656"/>
      <w:bookmarkEnd w:id="24"/>
    </w:p>
    <w:p>
      <w:pPr>
        <w:pStyle w:val="51"/>
        <w:spacing w:before="156" w:after="156"/>
        <w:rPr>
          <w:szCs w:val="28"/>
        </w:rPr>
      </w:pPr>
      <w:bookmarkStart w:id="25" w:name="_Toc29547169"/>
      <w:r>
        <w:rPr>
          <w:rFonts w:hint="eastAsia"/>
          <w:szCs w:val="28"/>
        </w:rPr>
        <w:t>一般规定</w:t>
      </w:r>
      <w:bookmarkEnd w:id="25"/>
    </w:p>
    <w:p>
      <w:pPr>
        <w:pStyle w:val="27"/>
        <w:numPr>
          <w:ilvl w:val="2"/>
          <w:numId w:val="1"/>
        </w:numPr>
        <w:spacing w:beforeLines="0" w:afterLines="0" w:line="360" w:lineRule="auto"/>
        <w:rPr>
          <w:rFonts w:asciiTheme="minorEastAsia" w:hAnsiTheme="minorEastAsia" w:eastAsiaTheme="minorEastAsia"/>
          <w:szCs w:val="21"/>
        </w:rPr>
      </w:pPr>
      <w:r>
        <w:rPr>
          <w:rFonts w:hint="eastAsia" w:asciiTheme="minorEastAsia" w:hAnsiTheme="minorEastAsia" w:eastAsiaTheme="minorEastAsia"/>
          <w:szCs w:val="21"/>
        </w:rPr>
        <w:t>玻璃/陶瓷再生细骨料混凝土适用的环境类别为一类环境。</w:t>
      </w:r>
    </w:p>
    <w:p>
      <w:pPr>
        <w:pStyle w:val="27"/>
        <w:numPr>
          <w:ilvl w:val="2"/>
          <w:numId w:val="1"/>
        </w:numPr>
        <w:spacing w:beforeLines="0" w:afterLines="0" w:line="360" w:lineRule="auto"/>
        <w:rPr>
          <w:rFonts w:asciiTheme="minorEastAsia" w:hAnsiTheme="minorEastAsia" w:eastAsiaTheme="minorEastAsia"/>
          <w:szCs w:val="21"/>
        </w:rPr>
      </w:pPr>
      <w:r>
        <w:rPr>
          <w:rFonts w:hint="eastAsia" w:asciiTheme="minorEastAsia" w:hAnsiTheme="minorEastAsia" w:eastAsiaTheme="minorEastAsia"/>
        </w:rPr>
        <w:t>符合本规程4.1.1技术要求的玻璃再生细骨料，可用于配制C2</w:t>
      </w:r>
      <w:r>
        <w:rPr>
          <w:rFonts w:asciiTheme="minorEastAsia" w:hAnsiTheme="minorEastAsia" w:eastAsiaTheme="minorEastAsia"/>
        </w:rPr>
        <w:t>5</w:t>
      </w:r>
      <w:r>
        <w:rPr>
          <w:rFonts w:hint="eastAsia" w:asciiTheme="minorEastAsia" w:hAnsiTheme="minorEastAsia" w:eastAsiaTheme="minorEastAsia"/>
        </w:rPr>
        <w:t>及以下强度等级的混凝土。符合本规程4.1.1技术要求的陶瓷再生细骨料，可用于配制C2</w:t>
      </w:r>
      <w:r>
        <w:rPr>
          <w:rFonts w:asciiTheme="minorEastAsia" w:hAnsiTheme="minorEastAsia" w:eastAsiaTheme="minorEastAsia"/>
        </w:rPr>
        <w:t>0</w:t>
      </w:r>
      <w:r>
        <w:rPr>
          <w:rFonts w:hint="eastAsia" w:asciiTheme="minorEastAsia" w:hAnsiTheme="minorEastAsia" w:eastAsiaTheme="minorEastAsia"/>
        </w:rPr>
        <w:t>及以下强度等级的混凝土。</w:t>
      </w:r>
    </w:p>
    <w:p>
      <w:pPr>
        <w:pStyle w:val="27"/>
        <w:numPr>
          <w:ilvl w:val="2"/>
          <w:numId w:val="1"/>
        </w:numPr>
        <w:spacing w:beforeLines="0" w:afterLines="0" w:line="360" w:lineRule="auto"/>
        <w:rPr>
          <w:rFonts w:asciiTheme="minorEastAsia" w:hAnsiTheme="minorEastAsia" w:eastAsiaTheme="minorEastAsia"/>
          <w:szCs w:val="21"/>
        </w:rPr>
      </w:pPr>
      <w:r>
        <w:rPr>
          <w:rFonts w:hint="eastAsia" w:asciiTheme="minorEastAsia" w:hAnsiTheme="minorEastAsia" w:eastAsiaTheme="minorEastAsia"/>
          <w:szCs w:val="21"/>
        </w:rPr>
        <w:t>玻璃/陶瓷再生细骨料混凝土的强度等级应按立方体抗压强度标准值确定，其立方体抗压强度标准值确定方法与普通混凝土立方体抗压强度标准值确定方法相同。</w:t>
      </w:r>
    </w:p>
    <w:p>
      <w:pPr>
        <w:pStyle w:val="27"/>
        <w:spacing w:beforeLines="0" w:afterLines="0" w:line="460" w:lineRule="exact"/>
        <w:rPr>
          <w:rFonts w:asciiTheme="minorEastAsia" w:hAnsiTheme="minorEastAsia" w:eastAsiaTheme="minorEastAsia"/>
        </w:rPr>
      </w:pPr>
      <w:r>
        <w:rPr>
          <w:rFonts w:hint="eastAsia" w:asciiTheme="minorEastAsia" w:hAnsiTheme="minorEastAsia" w:eastAsiaTheme="minorEastAsia"/>
        </w:rPr>
        <w:t>玻璃/陶瓷再生细骨料混凝土的轴心抗压强度标准值(</w:t>
      </w:r>
      <w:r>
        <w:rPr>
          <w:rFonts w:hint="eastAsia" w:asciiTheme="minorEastAsia" w:hAnsiTheme="minorEastAsia" w:eastAsiaTheme="minorEastAsia"/>
        </w:rPr>
        <w:object>
          <v:shape id="_x0000_i1034" o:spt="75" type="#_x0000_t75" style="height:19.6pt;width:16.4pt;" o:ole="t" filled="f" o:preferrelative="t" stroked="f" coordsize="21600,21600">
            <v:path/>
            <v:fill on="f" focussize="0,0"/>
            <v:stroke on="f" joinstyle="miter"/>
            <v:imagedata r:id="rId13" gain="86231f" o:title=""/>
            <o:lock v:ext="edit" aspectratio="t"/>
            <w10:wrap type="none"/>
            <w10:anchorlock/>
          </v:shape>
          <o:OLEObject Type="Embed" ProgID="Equation.3" ShapeID="_x0000_i1034" DrawAspect="Content" ObjectID="_1468075734" r:id="rId28">
            <o:LockedField>false</o:LockedField>
          </o:OLEObject>
        </w:object>
      </w:r>
      <w:r>
        <w:rPr>
          <w:rFonts w:hint="eastAsia" w:asciiTheme="minorEastAsia" w:hAnsiTheme="minorEastAsia" w:eastAsiaTheme="minorEastAsia"/>
        </w:rPr>
        <w:t>)、轴心抗压强度设计值（</w:t>
      </w:r>
      <w:r>
        <w:rPr>
          <w:rFonts w:hint="eastAsia" w:asciiTheme="minorEastAsia" w:hAnsiTheme="minorEastAsia" w:eastAsiaTheme="minorEastAsia"/>
        </w:rPr>
        <w:object>
          <v:shape id="_x0000_i1035" o:spt="75" type="#_x0000_t75" style="height:19.6pt;width:13.65pt;" o:ole="t" filled="f" o:preferrelative="t" stroked="f" coordsize="21600,21600">
            <v:path/>
            <v:fill on="f" focussize="0,0"/>
            <v:stroke on="f" joinstyle="miter"/>
            <v:imagedata r:id="rId11" o:title=""/>
            <o:lock v:ext="edit" aspectratio="t"/>
            <w10:wrap type="none"/>
            <w10:anchorlock/>
          </v:shape>
          <o:OLEObject Type="Embed" ProgID="Equation.3" ShapeID="_x0000_i1035" DrawAspect="Content" ObjectID="_1468075735" r:id="rId29">
            <o:LockedField>false</o:LockedField>
          </o:OLEObject>
        </w:object>
      </w:r>
      <w:r>
        <w:rPr>
          <w:rFonts w:hint="eastAsia" w:asciiTheme="minorEastAsia" w:hAnsiTheme="minorEastAsia" w:eastAsiaTheme="minorEastAsia"/>
        </w:rPr>
        <w:t>）、轴心抗拉强度标准值（</w:t>
      </w:r>
      <w:r>
        <w:rPr>
          <w:rFonts w:hint="eastAsia" w:asciiTheme="minorEastAsia" w:hAnsiTheme="minorEastAsia" w:eastAsiaTheme="minorEastAsia"/>
        </w:rPr>
        <w:object>
          <v:shape id="_x0000_i1036" o:spt="75" type="#_x0000_t75" style="height:19.6pt;width:15.95pt;" o:ole="t" filled="f" o:preferrelative="t" stroked="f" coordsize="21600,21600">
            <v:path/>
            <v:fill on="f" focussize="0,0"/>
            <v:stroke on="f" joinstyle="miter"/>
            <v:imagedata r:id="rId31" o:title=""/>
            <o:lock v:ext="edit" aspectratio="t"/>
            <w10:wrap type="none"/>
            <w10:anchorlock/>
          </v:shape>
          <o:OLEObject Type="Embed" ProgID="Equation.3" ShapeID="_x0000_i1036" DrawAspect="Content" ObjectID="_1468075736" r:id="rId30">
            <o:LockedField>false</o:LockedField>
          </o:OLEObject>
        </w:object>
      </w:r>
      <w:r>
        <w:rPr>
          <w:rFonts w:hint="eastAsia" w:asciiTheme="minorEastAsia" w:hAnsiTheme="minorEastAsia" w:eastAsiaTheme="minorEastAsia"/>
        </w:rPr>
        <w:t>）、轴心抗拉强度设计值（</w:t>
      </w:r>
      <w:r>
        <w:rPr>
          <w:rFonts w:hint="eastAsia" w:asciiTheme="minorEastAsia" w:hAnsiTheme="minorEastAsia" w:eastAsiaTheme="minorEastAsia"/>
        </w:rPr>
        <w:object>
          <v:shape id="_x0000_i1037" o:spt="75" type="#_x0000_t75" style="height:19.6pt;width:12.75pt;" o:ole="t" filled="f" o:preferrelative="t" stroked="f" coordsize="21600,21600">
            <v:path/>
            <v:fill on="f" focussize="0,0"/>
            <v:stroke on="f" joinstyle="miter"/>
            <v:imagedata r:id="rId33" o:title=""/>
            <o:lock v:ext="edit" aspectratio="t"/>
            <w10:wrap type="none"/>
            <w10:anchorlock/>
          </v:shape>
          <o:OLEObject Type="Embed" ProgID="Equation.3" ShapeID="_x0000_i1037" DrawAspect="Content" ObjectID="_1468075737" r:id="rId32">
            <o:LockedField>false</o:LockedField>
          </o:OLEObject>
        </w:object>
      </w:r>
      <w:r>
        <w:rPr>
          <w:rFonts w:hint="eastAsia" w:asciiTheme="minorEastAsia" w:hAnsiTheme="minorEastAsia" w:eastAsiaTheme="minorEastAsia"/>
        </w:rPr>
        <w:t>）、轴心抗压疲劳强度设计值（</w:t>
      </w:r>
      <w:r>
        <w:rPr>
          <w:rFonts w:hint="eastAsia" w:asciiTheme="minorEastAsia" w:hAnsiTheme="minorEastAsia" w:eastAsiaTheme="minorEastAsia"/>
        </w:rPr>
        <w:object>
          <v:shape id="_x0000_i1038" o:spt="75" type="#_x0000_t75" style="height:19.6pt;width:15.05pt;" o:ole="t" filled="f" o:preferrelative="t" stroked="f" coordsize="21600,21600">
            <v:path/>
            <v:fill on="f" focussize="0,0"/>
            <v:stroke on="f" joinstyle="miter"/>
            <v:imagedata r:id="rId15" o:title=""/>
            <o:lock v:ext="edit" aspectratio="t"/>
            <w10:wrap type="none"/>
            <w10:anchorlock/>
          </v:shape>
          <o:OLEObject Type="Embed" ProgID="Equation.3" ShapeID="_x0000_i1038" DrawAspect="Content" ObjectID="_1468075738" r:id="rId34">
            <o:LockedField>false</o:LockedField>
          </o:OLEObject>
        </w:object>
      </w:r>
      <w:r>
        <w:rPr>
          <w:rFonts w:hint="eastAsia" w:asciiTheme="minorEastAsia" w:hAnsiTheme="minorEastAsia" w:eastAsiaTheme="minorEastAsia"/>
        </w:rPr>
        <w:t>）、轴心抗拉疲劳强度设计值（</w:t>
      </w:r>
      <w:r>
        <w:rPr>
          <w:rFonts w:hint="eastAsia" w:asciiTheme="minorEastAsia" w:hAnsiTheme="minorEastAsia" w:eastAsiaTheme="minorEastAsia"/>
        </w:rPr>
        <w:object>
          <v:shape id="_x0000_i1039" o:spt="75" type="#_x0000_t75" style="height:19.6pt;width:15.05pt;" o:ole="t" filled="f" o:preferrelative="t" stroked="f" coordsize="21600,21600">
            <v:path/>
            <v:fill on="f" focussize="0,0"/>
            <v:stroke on="f" joinstyle="miter"/>
            <v:imagedata r:id="rId36" o:title=""/>
            <o:lock v:ext="edit" aspectratio="t"/>
            <w10:wrap type="none"/>
            <w10:anchorlock/>
          </v:shape>
          <o:OLEObject Type="Embed" ProgID="Equation.3" ShapeID="_x0000_i1039" DrawAspect="Content" ObjectID="_1468075739" r:id="rId35">
            <o:LockedField>false</o:LockedField>
          </o:OLEObject>
        </w:object>
      </w:r>
      <w:r>
        <w:rPr>
          <w:rFonts w:hint="eastAsia" w:asciiTheme="minorEastAsia" w:hAnsiTheme="minorEastAsia" w:eastAsiaTheme="minorEastAsia"/>
        </w:rPr>
        <w:t>）、剪切变形模量（</w:t>
      </w:r>
      <w:r>
        <w:rPr>
          <w:rFonts w:hint="eastAsia" w:asciiTheme="minorEastAsia" w:hAnsiTheme="minorEastAsia" w:eastAsiaTheme="minorEastAsia"/>
          <w:position w:val="-12"/>
        </w:rPr>
        <w:object>
          <v:shape id="_x0000_i1040" o:spt="75" type="#_x0000_t75" style="height:19.6pt;width:15.05pt;" o:ole="t" filled="f" o:preferrelative="t" stroked="f" coordsize="21600,21600">
            <v:path/>
            <v:fill on="f" focussize="0,0"/>
            <v:stroke on="f" joinstyle="miter"/>
            <v:imagedata r:id="rId38" o:title=""/>
            <o:lock v:ext="edit" aspectratio="t"/>
            <w10:wrap type="none"/>
            <w10:anchorlock/>
          </v:shape>
          <o:OLEObject Type="Embed" ProgID="Equation.3" ShapeID="_x0000_i1040" DrawAspect="Content" ObjectID="_1468075740" r:id="rId37">
            <o:LockedField>false</o:LockedField>
          </o:OLEObject>
        </w:object>
      </w:r>
      <w:r>
        <w:rPr>
          <w:rFonts w:hint="eastAsia" w:asciiTheme="minorEastAsia" w:hAnsiTheme="minorEastAsia" w:eastAsiaTheme="minorEastAsia"/>
        </w:rPr>
        <w:t>）均可按现行国家标准《混凝土结构设计规范》GB 50010的相关规定取值。</w:t>
      </w:r>
    </w:p>
    <w:p>
      <w:pPr>
        <w:pStyle w:val="54"/>
        <w:spacing w:line="460" w:lineRule="exact"/>
      </w:pPr>
      <w:r>
        <w:rPr>
          <w:rFonts w:hint="eastAsia"/>
        </w:rPr>
        <w:t>玻璃/陶瓷再生细骨料混凝土的温度线膨胀系数（</w:t>
      </w:r>
      <w:r>
        <w:rPr>
          <w:rFonts w:hint="eastAsia"/>
          <w:position w:val="-12"/>
        </w:rPr>
        <w:object>
          <v:shape id="_x0000_i1041" o:spt="75" type="#_x0000_t75" style="height:19.6pt;width:12.75pt;" o:ole="t" filled="f" o:preferrelative="t" stroked="f" coordsize="21600,21600">
            <v:path/>
            <v:fill on="f" focussize="0,0"/>
            <v:stroke on="f" joinstyle="miter"/>
            <v:imagedata r:id="rId25" o:title=""/>
            <o:lock v:ext="edit" aspectratio="t"/>
            <w10:wrap type="none"/>
            <w10:anchorlock/>
          </v:shape>
          <o:OLEObject Type="Embed" ProgID="Equation.3" ShapeID="_x0000_i1041" DrawAspect="Content" ObjectID="_1468075741" r:id="rId39">
            <o:LockedField>false</o:LockedField>
          </o:OLEObject>
        </w:object>
      </w:r>
      <w:r>
        <w:rPr>
          <w:rFonts w:hint="eastAsia"/>
        </w:rPr>
        <w:t>）宜通过试验确定。当缺乏试验条件或技术资料时，可按表5</w:t>
      </w:r>
      <w:r>
        <w:t>.1.5</w:t>
      </w:r>
      <w:r>
        <w:rPr>
          <w:rFonts w:hint="eastAsia"/>
        </w:rPr>
        <w:t>取值。</w:t>
      </w:r>
    </w:p>
    <w:p>
      <w:pPr>
        <w:spacing w:line="400" w:lineRule="atLeast"/>
        <w:ind w:left="840" w:leftChars="200" w:hanging="420" w:hangingChars="200"/>
        <w:jc w:val="center"/>
        <w:rPr>
          <w:rFonts w:cs="Times New Roman"/>
        </w:rPr>
      </w:pPr>
      <w:r>
        <w:rPr>
          <w:rFonts w:cs="Times New Roman"/>
        </w:rPr>
        <w:t>表</w:t>
      </w:r>
      <w:r>
        <w:rPr>
          <w:rFonts w:hint="eastAsia" w:cs="Times New Roman"/>
        </w:rPr>
        <w:t>5</w:t>
      </w:r>
      <w:r>
        <w:rPr>
          <w:rFonts w:cs="Times New Roman"/>
        </w:rPr>
        <w:t>.1.5 玻璃</w:t>
      </w:r>
      <w:r>
        <w:rPr>
          <w:rFonts w:hint="eastAsia" w:cs="Times New Roman"/>
        </w:rPr>
        <w:t>/</w:t>
      </w:r>
      <w:r>
        <w:rPr>
          <w:rFonts w:cs="Times New Roman"/>
        </w:rPr>
        <w:t>陶瓷</w:t>
      </w:r>
      <w:r>
        <w:rPr>
          <w:rFonts w:hint="eastAsia" w:cs="Times New Roman"/>
        </w:rPr>
        <w:t>再生细骨料混凝土温度线膨胀系数</w:t>
      </w:r>
    </w:p>
    <w:tbl>
      <w:tblPr>
        <w:tblStyle w:val="80"/>
        <w:tblW w:w="783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2"/>
        <w:gridCol w:w="4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2" w:hRule="atLeast"/>
          <w:jc w:val="center"/>
        </w:trPr>
        <w:tc>
          <w:tcPr>
            <w:tcW w:w="3692" w:type="dxa"/>
          </w:tcPr>
          <w:p>
            <w:pPr>
              <w:spacing w:line="360" w:lineRule="exact"/>
              <w:jc w:val="center"/>
              <w:rPr>
                <w:rFonts w:cs="Times New Roman" w:asciiTheme="minorEastAsia" w:hAnsiTheme="minorEastAsia" w:eastAsiaTheme="minorEastAsia"/>
                <w:szCs w:val="21"/>
              </w:rPr>
            </w:pPr>
            <w:r>
              <w:rPr>
                <w:rFonts w:hint="eastAsia" w:cs="Times New Roman" w:asciiTheme="minorEastAsia" w:hAnsiTheme="minorEastAsia" w:eastAsiaTheme="minorEastAsia"/>
                <w:szCs w:val="21"/>
              </w:rPr>
              <w:t>类型</w:t>
            </w:r>
          </w:p>
        </w:tc>
        <w:tc>
          <w:tcPr>
            <w:tcW w:w="4145" w:type="dxa"/>
          </w:tcPr>
          <w:p>
            <w:pPr>
              <w:spacing w:line="360" w:lineRule="exact"/>
              <w:jc w:val="center"/>
              <w:rPr>
                <w:rFonts w:cs="Times New Roman" w:asciiTheme="minorEastAsia" w:hAnsiTheme="minorEastAsia" w:eastAsiaTheme="minorEastAsia"/>
                <w:szCs w:val="21"/>
              </w:rPr>
            </w:pPr>
            <w:r>
              <w:rPr>
                <w:rFonts w:cs="Times New Roman" w:asciiTheme="minorEastAsia" w:hAnsiTheme="minorEastAsia" w:eastAsiaTheme="minorEastAsia"/>
                <w:szCs w:val="21"/>
              </w:rPr>
              <w:t>温度线膨胀系数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3692" w:type="dxa"/>
          </w:tcPr>
          <w:p>
            <w:pPr>
              <w:spacing w:line="360" w:lineRule="exact"/>
              <w:jc w:val="center"/>
              <w:rPr>
                <w:rFonts w:cs="Times New Roman" w:asciiTheme="minorEastAsia" w:hAnsiTheme="minorEastAsia" w:eastAsiaTheme="minorEastAsia"/>
                <w:szCs w:val="21"/>
              </w:rPr>
            </w:pPr>
            <w:r>
              <w:rPr>
                <w:rFonts w:hint="eastAsia" w:cs="Times New Roman" w:asciiTheme="minorEastAsia" w:hAnsiTheme="minorEastAsia" w:eastAsiaTheme="minorEastAsia"/>
                <w:szCs w:val="21"/>
              </w:rPr>
              <w:t>玻璃再生细骨料混凝土</w:t>
            </w:r>
          </w:p>
        </w:tc>
        <w:tc>
          <w:tcPr>
            <w:tcW w:w="4145" w:type="dxa"/>
          </w:tcPr>
          <w:p>
            <w:pPr>
              <w:spacing w:line="360" w:lineRule="exact"/>
              <w:jc w:val="center"/>
              <w:rPr>
                <w:rFonts w:cs="Times New Roman" w:asciiTheme="minorEastAsia" w:hAnsiTheme="minorEastAsia" w:eastAsiaTheme="minorEastAsia"/>
                <w:szCs w:val="21"/>
              </w:rPr>
            </w:pPr>
            <w:r>
              <w:rPr>
                <w:rFonts w:cs="Times New Roman" w:asciiTheme="minorEastAsia" w:hAnsiTheme="minorEastAsia" w:eastAsiaTheme="minorEastAsia"/>
                <w:szCs w:val="21"/>
              </w:rPr>
              <w:t>8.7×10</w:t>
            </w:r>
            <w:r>
              <w:rPr>
                <w:rFonts w:cs="Times New Roman" w:asciiTheme="minorEastAsia" w:hAnsiTheme="minorEastAsia" w:eastAsiaTheme="minorEastAsia"/>
                <w:szCs w:val="21"/>
                <w:vertAlign w:val="superscript"/>
              </w:rPr>
              <w:t>-6</w:t>
            </w:r>
            <w:r>
              <w:rPr>
                <w:rFonts w:cs="Times New Roman" w:asciiTheme="minorEastAsia" w:hAnsiTheme="minorEastAsia" w:eastAsia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2" w:hRule="atLeast"/>
          <w:jc w:val="center"/>
        </w:trPr>
        <w:tc>
          <w:tcPr>
            <w:tcW w:w="3692" w:type="dxa"/>
          </w:tcPr>
          <w:p>
            <w:pPr>
              <w:spacing w:line="360" w:lineRule="exact"/>
              <w:jc w:val="center"/>
              <w:rPr>
                <w:rFonts w:cs="Times New Roman" w:asciiTheme="minorEastAsia" w:hAnsiTheme="minorEastAsia" w:eastAsiaTheme="minorEastAsia"/>
                <w:szCs w:val="21"/>
              </w:rPr>
            </w:pPr>
            <w:r>
              <w:rPr>
                <w:rFonts w:hint="eastAsia" w:cs="Times New Roman" w:asciiTheme="minorEastAsia" w:hAnsiTheme="minorEastAsia" w:eastAsiaTheme="minorEastAsia"/>
                <w:szCs w:val="21"/>
              </w:rPr>
              <w:t>陶瓷再生细骨料混凝土</w:t>
            </w:r>
          </w:p>
        </w:tc>
        <w:tc>
          <w:tcPr>
            <w:tcW w:w="4145" w:type="dxa"/>
          </w:tcPr>
          <w:p>
            <w:pPr>
              <w:spacing w:line="360" w:lineRule="exact"/>
              <w:jc w:val="center"/>
              <w:rPr>
                <w:rFonts w:cs="Times New Roman" w:asciiTheme="minorEastAsia" w:hAnsiTheme="minorEastAsia" w:eastAsiaTheme="minorEastAsia"/>
                <w:szCs w:val="21"/>
              </w:rPr>
            </w:pPr>
            <w:r>
              <w:rPr>
                <w:rFonts w:cs="Times New Roman" w:asciiTheme="minorEastAsia" w:hAnsiTheme="minorEastAsia" w:eastAsiaTheme="minorEastAsia"/>
                <w:szCs w:val="21"/>
              </w:rPr>
              <w:t>9.0×10</w:t>
            </w:r>
            <w:r>
              <w:rPr>
                <w:rFonts w:cs="Times New Roman" w:asciiTheme="minorEastAsia" w:hAnsiTheme="minorEastAsia" w:eastAsiaTheme="minorEastAsia"/>
                <w:szCs w:val="21"/>
                <w:vertAlign w:val="superscript"/>
              </w:rPr>
              <w:t>-6</w:t>
            </w:r>
            <w:r>
              <w:rPr>
                <w:rFonts w:cs="Times New Roman" w:asciiTheme="minorEastAsia" w:hAnsiTheme="minorEastAsia" w:eastAsiaTheme="minorEastAsia"/>
                <w:szCs w:val="21"/>
              </w:rPr>
              <w:t>/℃</w:t>
            </w:r>
          </w:p>
        </w:tc>
      </w:tr>
    </w:tbl>
    <w:p>
      <w:pPr>
        <w:pStyle w:val="54"/>
        <w:spacing w:before="156" w:beforeLines="50" w:line="360" w:lineRule="auto"/>
      </w:pPr>
      <w:r>
        <w:rPr>
          <w:rFonts w:hint="eastAsia"/>
        </w:rPr>
        <w:t>玻璃再生细骨料混凝土的总碱量不应超过</w:t>
      </w:r>
      <w:r>
        <w:t>3.0</w:t>
      </w:r>
      <w:r>
        <w:rPr>
          <w:rFonts w:hint="eastAsia"/>
        </w:rPr>
        <w:t>kg/m</w:t>
      </w:r>
      <w:r>
        <w:rPr>
          <w:rFonts w:hint="eastAsia"/>
          <w:vertAlign w:val="superscript"/>
        </w:rPr>
        <w:t>3</w:t>
      </w:r>
      <w:r>
        <w:rPr>
          <w:rFonts w:hint="eastAsia"/>
        </w:rPr>
        <w:t>，混凝土配合比中宜掺入粉煤灰、矿粉等掺合料。对于矿物掺合料碱含量，粉煤灰碱含量可取实测值的1/6，粒化高炉矿渣粉碱含量可取实测值的1/2。</w:t>
      </w:r>
    </w:p>
    <w:p>
      <w:pPr>
        <w:pStyle w:val="27"/>
        <w:spacing w:beforeLines="0" w:afterLines="0" w:line="360" w:lineRule="auto"/>
      </w:pPr>
      <w:r>
        <w:rPr>
          <w:rFonts w:hint="eastAsia" w:ascii="宋体" w:eastAsia="宋体" w:hAnsiTheme="minorEastAsia"/>
          <w:szCs w:val="21"/>
        </w:rPr>
        <w:t>玻璃</w:t>
      </w:r>
      <w:r>
        <w:rPr>
          <w:rFonts w:ascii="宋体" w:eastAsia="宋体" w:hAnsiTheme="minorEastAsia"/>
          <w:szCs w:val="21"/>
        </w:rPr>
        <w:t>再生细骨料混凝土的弹性模量(Ec)可按普通混凝土的弹性模量取值</w:t>
      </w:r>
      <w:r>
        <w:rPr>
          <w:rFonts w:hint="eastAsia" w:ascii="宋体" w:eastAsia="宋体" w:hAnsiTheme="minorEastAsia"/>
          <w:szCs w:val="21"/>
        </w:rPr>
        <w:t>，陶瓷</w:t>
      </w:r>
      <w:r>
        <w:rPr>
          <w:rFonts w:ascii="宋体" w:eastAsia="宋体" w:hAnsiTheme="minorEastAsia"/>
          <w:szCs w:val="21"/>
        </w:rPr>
        <w:t>再生细骨料混凝土的弹性模量(Ec)可用普通混凝土弹性模量乘以弹性模量</w:t>
      </w:r>
      <w:r>
        <w:rPr>
          <w:rFonts w:hint="eastAsia" w:ascii="宋体" w:eastAsia="宋体" w:hAnsiTheme="minorEastAsia"/>
          <w:szCs w:val="21"/>
        </w:rPr>
        <w:t>换算</w:t>
      </w:r>
      <w:r>
        <w:rPr>
          <w:rFonts w:ascii="宋体" w:eastAsia="宋体" w:hAnsiTheme="minorEastAsia"/>
          <w:szCs w:val="21"/>
        </w:rPr>
        <w:t>系数计算</w:t>
      </w:r>
      <w:r>
        <w:rPr>
          <w:rFonts w:hint="eastAsia" w:ascii="宋体" w:eastAsia="宋体" w:hAnsiTheme="minorEastAsia"/>
          <w:szCs w:val="21"/>
        </w:rPr>
        <w:t>，弹性模量换算</w:t>
      </w:r>
      <w:r>
        <w:rPr>
          <w:rFonts w:ascii="宋体" w:eastAsia="宋体" w:hAnsiTheme="minorEastAsia"/>
          <w:szCs w:val="21"/>
        </w:rPr>
        <w:t>系数为</w:t>
      </w:r>
      <w:r>
        <w:rPr>
          <w:rFonts w:hint="eastAsia" w:ascii="宋体" w:eastAsia="宋体" w:hAnsiTheme="minorEastAsia"/>
          <w:szCs w:val="21"/>
        </w:rPr>
        <w:t>1.</w:t>
      </w:r>
      <w:r>
        <w:rPr>
          <w:rFonts w:ascii="宋体" w:eastAsia="宋体" w:hAnsiTheme="minorEastAsia"/>
          <w:szCs w:val="21"/>
        </w:rPr>
        <w:t>07</w:t>
      </w:r>
      <w:r>
        <w:rPr>
          <w:rFonts w:hint="eastAsia" w:ascii="宋体" w:eastAsia="宋体" w:hAnsiTheme="minorEastAsia"/>
          <w:szCs w:val="21"/>
        </w:rPr>
        <w:t>。</w:t>
      </w:r>
    </w:p>
    <w:p>
      <w:pPr>
        <w:pStyle w:val="54"/>
        <w:spacing w:line="360" w:lineRule="auto"/>
        <w:rPr>
          <w:rFonts w:asciiTheme="minorEastAsia" w:eastAsiaTheme="minorEastAsia"/>
          <w:shd w:val="clear" w:color="auto" w:fill="EBF1FA" w:themeFill="background1"/>
        </w:rPr>
      </w:pPr>
      <w:bookmarkStart w:id="26" w:name="_Toc29547170"/>
      <w:r>
        <w:rPr>
          <w:rFonts w:hint="eastAsia" w:asciiTheme="minorEastAsia" w:eastAsiaTheme="minorEastAsia"/>
        </w:rPr>
        <w:t>玻璃/陶瓷再生细骨料混凝土的拌合物性能试验方法、力学性能试验方法、耐久性能试验方法，应按</w:t>
      </w:r>
      <w:r>
        <w:rPr>
          <w:rFonts w:hint="eastAsia" w:asciiTheme="minorEastAsia" w:eastAsiaTheme="minorEastAsia"/>
          <w:shd w:val="clear" w:color="auto" w:fill="EBF1FA" w:themeFill="background1"/>
        </w:rPr>
        <w:t>《普通混凝土拌合物性能试验方法》GB/T 50080、《混凝土物理力学性能试验方法》GB/T 50081和《普通混凝土长期性能和耐久性能试验方法》GB/T 50082的规定执行。</w:t>
      </w:r>
    </w:p>
    <w:p>
      <w:pPr>
        <w:pStyle w:val="27"/>
        <w:spacing w:beforeLines="0" w:afterLines="0" w:line="360" w:lineRule="auto"/>
        <w:rPr>
          <w:rFonts w:asciiTheme="minorEastAsia" w:hAnsiTheme="minorEastAsia" w:eastAsiaTheme="minorEastAsia"/>
          <w:szCs w:val="21"/>
          <w:shd w:val="clear" w:color="auto" w:fill="EBF1FA" w:themeFill="background1"/>
        </w:rPr>
      </w:pPr>
      <w:r>
        <w:rPr>
          <w:rFonts w:hint="eastAsia" w:asciiTheme="minorEastAsia" w:hAnsiTheme="minorEastAsia" w:eastAsiaTheme="minorEastAsia"/>
          <w:szCs w:val="21"/>
        </w:rPr>
        <w:t>玻璃</w:t>
      </w:r>
      <w:r>
        <w:rPr>
          <w:rFonts w:asciiTheme="minorEastAsia" w:hAnsiTheme="minorEastAsia" w:eastAsiaTheme="minorEastAsia"/>
          <w:szCs w:val="21"/>
        </w:rPr>
        <w:t>/陶瓷再生细骨料混凝土的耐久性设计应符合现行国家标准</w:t>
      </w:r>
      <w:r>
        <w:rPr>
          <w:rFonts w:asciiTheme="minorEastAsia" w:hAnsiTheme="minorEastAsia" w:eastAsiaTheme="minorEastAsia"/>
          <w:szCs w:val="21"/>
          <w:shd w:val="clear" w:color="auto" w:fill="EBF1FA" w:themeFill="background1"/>
        </w:rPr>
        <w:t>《混凝土结构设计规范》GB 50010和《混凝土结构耐久性设计规范》GB/T 50476的相关规定，且应符合《再生骨料应用技术规程》JGJ/T 240的相关规定。</w:t>
      </w:r>
    </w:p>
    <w:p>
      <w:pPr>
        <w:pStyle w:val="51"/>
        <w:spacing w:before="156" w:after="156"/>
        <w:rPr>
          <w:szCs w:val="28"/>
          <w:shd w:val="clear" w:color="auto" w:fill="EBF1FA" w:themeFill="background1"/>
        </w:rPr>
      </w:pPr>
      <w:r>
        <w:rPr>
          <w:rFonts w:hint="eastAsia"/>
          <w:szCs w:val="28"/>
          <w:shd w:val="clear" w:color="auto" w:fill="EBF1FA" w:themeFill="background1"/>
        </w:rPr>
        <w:t>原材料</w:t>
      </w:r>
      <w:bookmarkEnd w:id="26"/>
    </w:p>
    <w:p>
      <w:pPr>
        <w:pStyle w:val="27"/>
        <w:spacing w:beforeLines="0" w:afterLines="0" w:line="360" w:lineRule="auto"/>
        <w:rPr>
          <w:rFonts w:asciiTheme="minorEastAsia" w:hAnsiTheme="minorEastAsia" w:eastAsiaTheme="minorEastAsia"/>
        </w:rPr>
      </w:pPr>
      <w:r>
        <w:rPr>
          <w:rFonts w:hint="eastAsia" w:asciiTheme="minorEastAsia" w:hAnsiTheme="minorEastAsia" w:eastAsiaTheme="minorEastAsia"/>
        </w:rPr>
        <w:t>玻璃/陶瓷再生细骨料混凝土用原材料应符合下列规定：</w:t>
      </w:r>
      <w:r>
        <w:rPr>
          <w:rFonts w:asciiTheme="minorEastAsia" w:hAnsiTheme="minorEastAsia" w:eastAsiaTheme="minorEastAsia"/>
        </w:rPr>
        <w:t xml:space="preserve"> </w:t>
      </w:r>
    </w:p>
    <w:p>
      <w:pPr>
        <w:pStyle w:val="31"/>
        <w:ind w:left="578" w:hanging="158"/>
        <w:rPr>
          <w:shd w:val="clear" w:color="auto" w:fill="EBF1FA" w:themeFill="background1"/>
        </w:rPr>
      </w:pPr>
      <w:r>
        <w:rPr>
          <w:rFonts w:hint="eastAsia"/>
        </w:rPr>
        <w:t>粗骨料、细骨料应符合现行行业标准</w:t>
      </w:r>
      <w:r>
        <w:rPr>
          <w:rFonts w:hint="eastAsia"/>
          <w:shd w:val="clear" w:color="auto" w:fill="EBF1FA" w:themeFill="background1"/>
        </w:rPr>
        <w:t>《普通混凝土用砂、石质量及检验方法标准》JGJ 52的规定；</w:t>
      </w:r>
    </w:p>
    <w:p>
      <w:pPr>
        <w:pStyle w:val="31"/>
        <w:ind w:left="578" w:hanging="158"/>
      </w:pPr>
      <w:r>
        <w:rPr>
          <w:rFonts w:hint="eastAsia"/>
        </w:rPr>
        <w:t>水泥应采用低碱水泥，水泥的碱含量（以Na</w:t>
      </w:r>
      <w:r>
        <w:rPr>
          <w:vertAlign w:val="subscript"/>
        </w:rPr>
        <w:t>2</w:t>
      </w:r>
      <w:r>
        <w:t>O</w:t>
      </w:r>
      <w:r>
        <w:rPr>
          <w:rFonts w:hint="eastAsia"/>
        </w:rPr>
        <w:t>计，即K</w:t>
      </w:r>
      <w:r>
        <w:rPr>
          <w:vertAlign w:val="subscript"/>
        </w:rPr>
        <w:t>2</w:t>
      </w:r>
      <w:r>
        <w:t>O</w:t>
      </w:r>
      <w:r>
        <w:rPr>
          <w:rFonts w:hint="eastAsia"/>
        </w:rPr>
        <w:t>×</w:t>
      </w:r>
      <w:r>
        <w:t>0.658</w:t>
      </w:r>
      <w:r>
        <w:rPr>
          <w:rFonts w:hint="eastAsia"/>
        </w:rPr>
        <w:t>+</w:t>
      </w:r>
      <w:r>
        <w:t>N</w:t>
      </w:r>
      <w:r>
        <w:rPr>
          <w:rFonts w:hint="eastAsia"/>
        </w:rPr>
        <w:t>a</w:t>
      </w:r>
      <w:r>
        <w:rPr>
          <w:vertAlign w:val="subscript"/>
        </w:rPr>
        <w:t>2</w:t>
      </w:r>
      <w:r>
        <w:t>O</w:t>
      </w:r>
      <w:r>
        <w:rPr>
          <w:rFonts w:hint="eastAsia"/>
        </w:rPr>
        <w:t>）不得</w:t>
      </w:r>
      <w:r>
        <w:t>超过</w:t>
      </w:r>
      <w:r>
        <w:rPr>
          <w:rFonts w:hint="eastAsia"/>
        </w:rPr>
        <w:t>1.2%；</w:t>
      </w:r>
    </w:p>
    <w:p>
      <w:pPr>
        <w:pStyle w:val="31"/>
        <w:ind w:left="420" w:firstLine="0" w:firstLineChars="0"/>
        <w:rPr>
          <w:shd w:val="clear" w:color="auto" w:fill="EBF1FA" w:themeFill="background1"/>
        </w:rPr>
      </w:pPr>
      <w:r>
        <w:rPr>
          <w:rFonts w:hint="eastAsia"/>
        </w:rPr>
        <w:t>拌合用水和养护用水应符合现行行业标准</w:t>
      </w:r>
      <w:r>
        <w:rPr>
          <w:rFonts w:hint="eastAsia"/>
          <w:shd w:val="clear" w:color="auto" w:fill="EBF1FA" w:themeFill="background1"/>
        </w:rPr>
        <w:t>《混凝土用水标准》JGJ 63的规定；</w:t>
      </w:r>
    </w:p>
    <w:p>
      <w:pPr>
        <w:pStyle w:val="31"/>
        <w:ind w:left="578" w:hanging="158"/>
        <w:rPr>
          <w:shd w:val="clear" w:color="auto" w:fill="EBF1FA" w:themeFill="background1"/>
        </w:rPr>
      </w:pPr>
      <w:r>
        <w:rPr>
          <w:rFonts w:hint="eastAsia"/>
          <w:shd w:val="clear" w:color="auto" w:fill="EBF1FA" w:themeFill="background1"/>
        </w:rPr>
        <w:t>矿物掺合料应符合现行国家标准《用于水泥和混凝土中的粉煤灰》GB/T 1596、《用于水泥和混凝土中的粒化高炉矿渣粉》GB/T 18046、《高强高性能混凝土用矿物外加剂》GB/T 18736和《混凝土和砂浆用天然沸石粉》JG/T 3048的规定；</w:t>
      </w:r>
    </w:p>
    <w:p>
      <w:pPr>
        <w:pStyle w:val="31"/>
        <w:ind w:left="578" w:hanging="158"/>
        <w:rPr>
          <w:shd w:val="clear" w:color="auto" w:fill="EBF1FA" w:themeFill="background1"/>
        </w:rPr>
      </w:pPr>
      <w:r>
        <w:rPr>
          <w:rFonts w:hint="eastAsia"/>
          <w:shd w:val="clear" w:color="auto" w:fill="EBF1FA" w:themeFill="background1"/>
        </w:rPr>
        <w:t>外加剂应符合现行国家标准《混凝土外加剂》GB 8076和《混凝土外加剂应用技术规范》GB 50119的规定。</w:t>
      </w:r>
    </w:p>
    <w:p>
      <w:pPr>
        <w:pStyle w:val="51"/>
        <w:spacing w:before="156" w:after="156"/>
        <w:rPr>
          <w:szCs w:val="28"/>
        </w:rPr>
      </w:pPr>
      <w:bookmarkStart w:id="27" w:name="_Toc29547171"/>
      <w:r>
        <w:rPr>
          <w:rFonts w:hint="eastAsia"/>
          <w:szCs w:val="28"/>
        </w:rPr>
        <w:t>配合比设计</w:t>
      </w:r>
      <w:bookmarkEnd w:id="27"/>
    </w:p>
    <w:p>
      <w:pPr>
        <w:pStyle w:val="27"/>
        <w:spacing w:beforeLines="0" w:afterLines="0" w:line="360" w:lineRule="auto"/>
        <w:rPr>
          <w:rFonts w:asciiTheme="minorEastAsia" w:hAnsiTheme="minorEastAsia" w:eastAsiaTheme="minorEastAsia"/>
          <w:shd w:val="clear" w:color="auto" w:fill="EBF1FA" w:themeFill="background1"/>
        </w:rPr>
      </w:pPr>
      <w:r>
        <w:rPr>
          <w:rFonts w:hint="eastAsia" w:asciiTheme="minorEastAsia" w:hAnsiTheme="minorEastAsia" w:eastAsiaTheme="minorEastAsia"/>
        </w:rPr>
        <w:t>玻璃/陶瓷再生细骨料混凝土配合比设计</w:t>
      </w:r>
      <w:r>
        <w:rPr>
          <w:rFonts w:asciiTheme="minorEastAsia" w:hAnsiTheme="minorEastAsia" w:eastAsiaTheme="minorEastAsia"/>
        </w:rPr>
        <w:t>应按现行行业标准</w:t>
      </w:r>
      <w:r>
        <w:rPr>
          <w:rFonts w:asciiTheme="minorEastAsia" w:hAnsiTheme="minorEastAsia" w:eastAsiaTheme="minorEastAsia"/>
          <w:shd w:val="clear" w:color="auto" w:fill="EBF1FA" w:themeFill="background1"/>
        </w:rPr>
        <w:t>《</w:t>
      </w:r>
      <w:r>
        <w:rPr>
          <w:rFonts w:hint="eastAsia" w:asciiTheme="minorEastAsia" w:hAnsiTheme="minorEastAsia" w:eastAsiaTheme="minorEastAsia"/>
          <w:shd w:val="clear" w:color="auto" w:fill="EBF1FA" w:themeFill="background1"/>
        </w:rPr>
        <w:t>普通混凝土配合比设计规程》JGJ 55规定</w:t>
      </w:r>
      <w:r>
        <w:rPr>
          <w:rFonts w:asciiTheme="minorEastAsia" w:hAnsiTheme="minorEastAsia" w:eastAsiaTheme="minorEastAsia"/>
          <w:shd w:val="clear" w:color="auto" w:fill="EBF1FA" w:themeFill="background1"/>
        </w:rPr>
        <w:t>步骤进行</w:t>
      </w:r>
      <w:r>
        <w:rPr>
          <w:rFonts w:hint="eastAsia" w:asciiTheme="minorEastAsia" w:hAnsiTheme="minorEastAsia" w:eastAsiaTheme="minorEastAsia"/>
          <w:shd w:val="clear" w:color="auto" w:fill="EBF1FA" w:themeFill="background1"/>
        </w:rPr>
        <w:t>，</w:t>
      </w:r>
      <w:r>
        <w:rPr>
          <w:rFonts w:asciiTheme="minorEastAsia" w:hAnsiTheme="minorEastAsia" w:eastAsiaTheme="minorEastAsia"/>
          <w:shd w:val="clear" w:color="auto" w:fill="EBF1FA" w:themeFill="background1"/>
        </w:rPr>
        <w:t>并</w:t>
      </w:r>
      <w:r>
        <w:rPr>
          <w:rFonts w:hint="eastAsia" w:asciiTheme="minorEastAsia" w:hAnsiTheme="minorEastAsia" w:eastAsiaTheme="minorEastAsia"/>
          <w:shd w:val="clear" w:color="auto" w:fill="EBF1FA" w:themeFill="background1"/>
        </w:rPr>
        <w:t>应符合以下规定：</w:t>
      </w:r>
    </w:p>
    <w:p>
      <w:pPr>
        <w:pStyle w:val="31"/>
        <w:ind w:left="578" w:hanging="158"/>
      </w:pPr>
      <w:r>
        <w:t>应满足混凝土和易性、强度</w:t>
      </w:r>
      <w:r>
        <w:rPr>
          <w:rFonts w:hint="eastAsia"/>
        </w:rPr>
        <w:t>、体积稳定性</w:t>
      </w:r>
      <w:r>
        <w:t>和耐久性的要求</w:t>
      </w:r>
      <w:r>
        <w:rPr>
          <w:rFonts w:hint="eastAsia"/>
        </w:rPr>
        <w:t>；</w:t>
      </w:r>
    </w:p>
    <w:p>
      <w:pPr>
        <w:pStyle w:val="31"/>
        <w:ind w:left="578" w:hanging="158"/>
      </w:pPr>
      <w:r>
        <w:rPr>
          <w:rFonts w:hint="eastAsia"/>
        </w:rPr>
        <w:t>玻璃/陶瓷再生细骨料取代率应符合表5.3.1的规定；</w:t>
      </w:r>
    </w:p>
    <w:p>
      <w:pPr>
        <w:pStyle w:val="54"/>
        <w:numPr>
          <w:ilvl w:val="0"/>
          <w:numId w:val="0"/>
        </w:numPr>
        <w:spacing w:line="360" w:lineRule="auto"/>
        <w:jc w:val="center"/>
      </w:pPr>
      <w:r>
        <w:rPr>
          <w:rFonts w:hint="eastAsia"/>
        </w:rPr>
        <w:t>表5.</w:t>
      </w:r>
      <w:r>
        <w:t>3</w:t>
      </w:r>
      <w:r>
        <w:rPr>
          <w:rFonts w:hint="eastAsia"/>
        </w:rPr>
        <w:t>.1 玻璃/陶瓷再生细骨料取代率</w:t>
      </w:r>
    </w:p>
    <w:tbl>
      <w:tblPr>
        <w:tblStyle w:val="19"/>
        <w:tblW w:w="745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8"/>
        <w:gridCol w:w="1842"/>
        <w:gridCol w:w="1985"/>
        <w:gridCol w:w="19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500" w:type="dxa"/>
            <w:gridSpan w:val="2"/>
          </w:tcPr>
          <w:p>
            <w:pPr>
              <w:spacing w:line="360" w:lineRule="auto"/>
              <w:jc w:val="center"/>
              <w:rPr>
                <w:rFonts w:cs="宋体"/>
              </w:rPr>
            </w:pPr>
            <w:r>
              <w:rPr>
                <w:rFonts w:hint="eastAsia" w:cs="宋体"/>
              </w:rPr>
              <w:t>强度等级</w:t>
            </w:r>
          </w:p>
        </w:tc>
        <w:tc>
          <w:tcPr>
            <w:tcW w:w="1985" w:type="dxa"/>
          </w:tcPr>
          <w:p>
            <w:pPr>
              <w:spacing w:line="360" w:lineRule="auto"/>
              <w:jc w:val="center"/>
              <w:rPr>
                <w:rFonts w:cs="宋体"/>
              </w:rPr>
            </w:pPr>
            <w:r>
              <w:rPr>
                <w:rFonts w:hint="eastAsia" w:cs="宋体"/>
              </w:rPr>
              <w:t>C15、C2</w:t>
            </w:r>
            <w:r>
              <w:rPr>
                <w:rFonts w:cs="宋体"/>
              </w:rPr>
              <w:t>0</w:t>
            </w:r>
          </w:p>
        </w:tc>
        <w:tc>
          <w:tcPr>
            <w:tcW w:w="1968" w:type="dxa"/>
          </w:tcPr>
          <w:p>
            <w:pPr>
              <w:spacing w:line="360" w:lineRule="auto"/>
              <w:jc w:val="center"/>
              <w:rPr>
                <w:rFonts w:cs="宋体"/>
              </w:rPr>
            </w:pPr>
            <w:r>
              <w:rPr>
                <w:rFonts w:hint="eastAsia" w:cs="宋体"/>
              </w:rPr>
              <w:t>C</w:t>
            </w:r>
            <w:r>
              <w:rPr>
                <w:rFonts w:cs="宋体"/>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58" w:type="dxa"/>
            <w:vMerge w:val="restart"/>
            <w:vAlign w:val="center"/>
          </w:tcPr>
          <w:p>
            <w:pPr>
              <w:spacing w:line="360" w:lineRule="auto"/>
              <w:jc w:val="center"/>
              <w:rPr>
                <w:rFonts w:cs="宋体"/>
              </w:rPr>
            </w:pPr>
            <w:r>
              <w:rPr>
                <w:rFonts w:hint="eastAsia" w:cs="宋体"/>
              </w:rPr>
              <w:t>取代率，%</w:t>
            </w:r>
          </w:p>
        </w:tc>
        <w:tc>
          <w:tcPr>
            <w:tcW w:w="1842" w:type="dxa"/>
          </w:tcPr>
          <w:p>
            <w:pPr>
              <w:spacing w:line="360" w:lineRule="auto"/>
              <w:jc w:val="center"/>
              <w:rPr>
                <w:rFonts w:cs="宋体"/>
              </w:rPr>
            </w:pPr>
            <w:r>
              <w:rPr>
                <w:rFonts w:cs="宋体"/>
              </w:rPr>
              <w:t>玻璃再生细骨料</w:t>
            </w:r>
          </w:p>
        </w:tc>
        <w:tc>
          <w:tcPr>
            <w:tcW w:w="1985" w:type="dxa"/>
          </w:tcPr>
          <w:p>
            <w:pPr>
              <w:spacing w:line="360" w:lineRule="auto"/>
              <w:jc w:val="center"/>
              <w:rPr>
                <w:rFonts w:cs="宋体"/>
              </w:rPr>
            </w:pPr>
            <w:r>
              <w:rPr>
                <w:rFonts w:hint="eastAsia" w:cs="宋体"/>
              </w:rPr>
              <w:t>≤3</w:t>
            </w:r>
            <w:r>
              <w:rPr>
                <w:rFonts w:cs="宋体"/>
              </w:rPr>
              <w:t>0</w:t>
            </w:r>
          </w:p>
        </w:tc>
        <w:tc>
          <w:tcPr>
            <w:tcW w:w="1968" w:type="dxa"/>
          </w:tcPr>
          <w:p>
            <w:pPr>
              <w:spacing w:line="360" w:lineRule="auto"/>
              <w:jc w:val="center"/>
              <w:rPr>
                <w:rFonts w:cs="宋体"/>
              </w:rPr>
            </w:pPr>
            <w:r>
              <w:rPr>
                <w:rFonts w:hint="eastAsia" w:cs="宋体"/>
              </w:rPr>
              <w:t>≤</w:t>
            </w:r>
            <w:r>
              <w:rPr>
                <w:rFonts w:cs="宋体"/>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58" w:type="dxa"/>
            <w:vMerge w:val="continue"/>
          </w:tcPr>
          <w:p>
            <w:pPr>
              <w:spacing w:line="360" w:lineRule="auto"/>
              <w:jc w:val="center"/>
              <w:rPr>
                <w:rFonts w:cs="宋体"/>
              </w:rPr>
            </w:pPr>
          </w:p>
        </w:tc>
        <w:tc>
          <w:tcPr>
            <w:tcW w:w="1842" w:type="dxa"/>
          </w:tcPr>
          <w:p>
            <w:pPr>
              <w:spacing w:line="360" w:lineRule="auto"/>
              <w:jc w:val="center"/>
              <w:rPr>
                <w:rFonts w:cs="宋体"/>
              </w:rPr>
            </w:pPr>
            <w:r>
              <w:rPr>
                <w:rFonts w:hint="eastAsia" w:cs="宋体"/>
              </w:rPr>
              <w:t>陶瓷再生细骨料</w:t>
            </w:r>
          </w:p>
        </w:tc>
        <w:tc>
          <w:tcPr>
            <w:tcW w:w="1985" w:type="dxa"/>
          </w:tcPr>
          <w:p>
            <w:pPr>
              <w:spacing w:line="360" w:lineRule="auto"/>
              <w:jc w:val="center"/>
              <w:rPr>
                <w:rFonts w:cs="宋体"/>
              </w:rPr>
            </w:pPr>
            <w:r>
              <w:rPr>
                <w:rFonts w:hint="eastAsia" w:cs="宋体"/>
              </w:rPr>
              <w:t>≤10</w:t>
            </w:r>
          </w:p>
        </w:tc>
        <w:tc>
          <w:tcPr>
            <w:tcW w:w="1968" w:type="dxa"/>
          </w:tcPr>
          <w:p>
            <w:pPr>
              <w:spacing w:line="360" w:lineRule="auto"/>
              <w:jc w:val="center"/>
              <w:rPr>
                <w:rFonts w:cs="宋体"/>
              </w:rPr>
            </w:pPr>
            <w:r>
              <w:rPr>
                <w:rFonts w:cs="宋体"/>
              </w:rPr>
              <w:t>/</w:t>
            </w:r>
          </w:p>
        </w:tc>
      </w:tr>
    </w:tbl>
    <w:p>
      <w:pPr>
        <w:pStyle w:val="31"/>
        <w:ind w:left="578" w:hanging="158"/>
      </w:pPr>
      <w:r>
        <w:rPr>
          <w:rFonts w:hint="eastAsia"/>
        </w:rPr>
        <w:t>应采用绝对体积法进行配合比计算，且计算时骨料应以干燥状态为基准；</w:t>
      </w:r>
    </w:p>
    <w:p>
      <w:pPr>
        <w:pStyle w:val="31"/>
        <w:ind w:left="578" w:hanging="158"/>
      </w:pPr>
      <w:r>
        <w:rPr>
          <w:rFonts w:hint="eastAsia"/>
        </w:rPr>
        <w:t>在满足混凝土和易性要求的前提下，陶瓷再生细骨料混凝土宜比普通混凝土砂率低1%</w:t>
      </w:r>
      <w:r>
        <w:rPr>
          <w:rFonts w:ascii="Times New Roman" w:hAnsi="Times New Roman" w:cs="Times New Roman"/>
        </w:rPr>
        <w:t>~</w:t>
      </w:r>
      <w:r>
        <w:rPr>
          <w:rFonts w:hint="eastAsia"/>
        </w:rPr>
        <w:t>3%；</w:t>
      </w:r>
    </w:p>
    <w:p>
      <w:pPr>
        <w:pStyle w:val="31"/>
        <w:ind w:left="578" w:hanging="158"/>
      </w:pPr>
      <w:r>
        <w:rPr>
          <w:rFonts w:hint="eastAsia"/>
        </w:rPr>
        <w:t>掺入陶瓷再生细骨料的混凝土，应通过调整外加剂的组分，使陶瓷再生细骨料混凝土与基准混凝土的含气量之差不大于</w:t>
      </w:r>
      <w:r>
        <w:t>1.0%</w:t>
      </w:r>
      <w:r>
        <w:rPr>
          <w:rFonts w:hint="eastAsia"/>
        </w:rPr>
        <w:t>。</w:t>
      </w:r>
    </w:p>
    <w:p>
      <w:pPr>
        <w:pStyle w:val="54"/>
      </w:pPr>
      <w:r>
        <w:t>当混凝土中己掺用其他再生骨料时，玻璃/陶瓷再生细骨料的取代率应通过试验确定。</w:t>
      </w:r>
    </w:p>
    <w:p>
      <w:pPr>
        <w:pStyle w:val="51"/>
        <w:spacing w:before="156" w:after="156"/>
      </w:pPr>
      <w:bookmarkStart w:id="28" w:name="_Toc29547172"/>
      <w:r>
        <w:rPr>
          <w:rFonts w:hint="eastAsia"/>
        </w:rPr>
        <w:t>制备和运输</w:t>
      </w:r>
      <w:bookmarkEnd w:id="28"/>
    </w:p>
    <w:p>
      <w:pPr>
        <w:pStyle w:val="54"/>
        <w:spacing w:line="360" w:lineRule="auto"/>
      </w:pPr>
      <w:r>
        <w:rPr>
          <w:rFonts w:hint="eastAsia"/>
        </w:rPr>
        <w:t>玻璃/陶瓷再生细骨料混凝土原材料的储存和计量应符合现行国家标准</w:t>
      </w:r>
      <w:r>
        <w:rPr>
          <w:rFonts w:hint="eastAsia"/>
          <w:shd w:val="clear" w:color="auto" w:fill="EBF1FA" w:themeFill="background1"/>
        </w:rPr>
        <w:t>《混凝土质量控制标准》GB 50164、《混凝土结构工程施工规范》GB 50666和《预拌混凝土》GB/T 14902</w:t>
      </w:r>
      <w:r>
        <w:rPr>
          <w:rFonts w:hint="eastAsia"/>
        </w:rPr>
        <w:t>的相关规定。</w:t>
      </w:r>
    </w:p>
    <w:p>
      <w:pPr>
        <w:pStyle w:val="54"/>
        <w:spacing w:line="360" w:lineRule="auto"/>
      </w:pPr>
      <w:r>
        <w:rPr>
          <w:rFonts w:hint="eastAsia"/>
        </w:rPr>
        <w:t>玻璃/陶瓷再生细骨料混凝土的搅拌和运输应符合现行国家标准《混凝土质量控制标准》GB 50164、《混凝土结构工程施工规范》GB 50666和《预拌混凝土》GB/T 14902的相关规定。</w:t>
      </w:r>
    </w:p>
    <w:p>
      <w:pPr>
        <w:pStyle w:val="51"/>
        <w:spacing w:before="156" w:after="156"/>
        <w:rPr>
          <w:szCs w:val="28"/>
        </w:rPr>
      </w:pPr>
      <w:bookmarkStart w:id="29" w:name="_Toc29547173"/>
      <w:r>
        <w:rPr>
          <w:rFonts w:hint="eastAsia"/>
          <w:szCs w:val="28"/>
        </w:rPr>
        <w:t>浇筑和养护</w:t>
      </w:r>
      <w:bookmarkEnd w:id="29"/>
    </w:p>
    <w:p>
      <w:pPr>
        <w:pStyle w:val="54"/>
        <w:spacing w:line="360" w:lineRule="auto"/>
      </w:pPr>
      <w:r>
        <w:rPr>
          <w:rFonts w:hint="eastAsia"/>
        </w:rPr>
        <w:t>玻璃/陶瓷再生细骨料混凝土振捣需按《混凝土结构工程施工规范》GB 50666的有关规定执行，在保证其振捣密实的同时，应避免因过振或漏振产生分层和离析。</w:t>
      </w:r>
    </w:p>
    <w:p>
      <w:pPr>
        <w:pStyle w:val="54"/>
        <w:spacing w:line="360" w:lineRule="auto"/>
      </w:pPr>
      <w:r>
        <w:rPr>
          <w:rFonts w:hint="eastAsia"/>
        </w:rPr>
        <w:t>玻璃/陶瓷再生细骨料混凝土的浇筑和养护应符合现行国家标准《混凝土质量控制标准》GB 50164和《混凝土结构工程施工规范》GB 50666的相关规定。</w:t>
      </w:r>
    </w:p>
    <w:p>
      <w:pPr>
        <w:pStyle w:val="51"/>
        <w:spacing w:before="156" w:after="156"/>
        <w:rPr>
          <w:szCs w:val="28"/>
        </w:rPr>
      </w:pPr>
      <w:bookmarkStart w:id="30" w:name="_Toc29547174"/>
      <w:r>
        <w:rPr>
          <w:rFonts w:hint="eastAsia"/>
          <w:szCs w:val="28"/>
        </w:rPr>
        <w:t>质量检验与验收</w:t>
      </w:r>
      <w:bookmarkEnd w:id="30"/>
    </w:p>
    <w:p>
      <w:pPr>
        <w:pStyle w:val="54"/>
        <w:spacing w:line="360" w:lineRule="auto"/>
      </w:pPr>
      <w:r>
        <w:rPr>
          <w:rFonts w:hint="eastAsia"/>
        </w:rPr>
        <w:t>玻璃/陶瓷再生细骨料混凝土应按照《混凝土质量控制标准》GB 50164的规定进行质量检验。</w:t>
      </w:r>
    </w:p>
    <w:p>
      <w:pPr>
        <w:pStyle w:val="54"/>
        <w:spacing w:line="360" w:lineRule="auto"/>
        <w:rPr>
          <w:shd w:val="clear" w:color="auto" w:fill="EBF1FA" w:themeFill="background1"/>
        </w:rPr>
      </w:pPr>
      <w:r>
        <w:rPr>
          <w:rFonts w:hint="eastAsia"/>
        </w:rPr>
        <w:t>玻璃/陶瓷再生细骨料混凝土的施工质量验收应符合现行国家标准</w:t>
      </w:r>
      <w:r>
        <w:rPr>
          <w:rFonts w:hint="eastAsia"/>
          <w:shd w:val="clear" w:color="auto" w:fill="EBF1FA" w:themeFill="background1"/>
        </w:rPr>
        <w:t>《混凝土结构工程施工质量验收规范》GB 50204的相关规定。</w:t>
      </w:r>
    </w:p>
    <w:p>
      <w:pPr>
        <w:pStyle w:val="54"/>
        <w:spacing w:line="360" w:lineRule="auto"/>
        <w:rPr>
          <w:shd w:val="clear" w:color="auto" w:fill="EBF1FA" w:themeFill="background1"/>
        </w:rPr>
      </w:pPr>
      <w:r>
        <w:rPr>
          <w:rFonts w:hint="eastAsia"/>
          <w:shd w:val="clear" w:color="auto" w:fill="EBF1FA" w:themeFill="background1"/>
        </w:rPr>
        <w:t>玻璃/陶瓷再生细骨料混凝土有耐久性要求时，应按现行行业标准《混凝土耐久性检验评定标准》JGJ/T 193的规定进行检验评定。</w:t>
      </w:r>
    </w:p>
    <w:p>
      <w:r>
        <w:rPr>
          <w:rFonts w:hint="eastAsia"/>
        </w:rPr>
        <w:br w:type="page"/>
      </w:r>
    </w:p>
    <w:p>
      <w:pPr>
        <w:pStyle w:val="24"/>
        <w:spacing w:before="156" w:after="156"/>
        <w:rPr>
          <w:sz w:val="32"/>
          <w:szCs w:val="32"/>
        </w:rPr>
      </w:pPr>
      <w:bookmarkStart w:id="31" w:name="_Toc29547175"/>
      <w:r>
        <w:rPr>
          <w:rFonts w:hint="eastAsia"/>
          <w:sz w:val="32"/>
          <w:szCs w:val="32"/>
        </w:rPr>
        <w:t>玻璃/陶瓷再生细骨料砂浆</w:t>
      </w:r>
      <w:bookmarkEnd w:id="31"/>
    </w:p>
    <w:p>
      <w:pPr>
        <w:pStyle w:val="51"/>
        <w:spacing w:before="156" w:after="156"/>
        <w:rPr>
          <w:vanish/>
        </w:rPr>
      </w:pPr>
      <w:bookmarkStart w:id="32" w:name="_Toc21873"/>
      <w:bookmarkEnd w:id="32"/>
      <w:bookmarkStart w:id="33" w:name="_Toc29547176"/>
      <w:bookmarkEnd w:id="33"/>
      <w:bookmarkStart w:id="34" w:name="_Toc568"/>
      <w:bookmarkEnd w:id="34"/>
      <w:bookmarkStart w:id="35" w:name="_Toc4421"/>
      <w:bookmarkEnd w:id="35"/>
    </w:p>
    <w:p>
      <w:pPr>
        <w:pStyle w:val="51"/>
        <w:spacing w:before="156" w:after="156"/>
        <w:rPr>
          <w:szCs w:val="28"/>
        </w:rPr>
      </w:pPr>
      <w:bookmarkStart w:id="36" w:name="_Toc29547177"/>
      <w:r>
        <w:rPr>
          <w:rFonts w:hint="eastAsia"/>
          <w:szCs w:val="28"/>
        </w:rPr>
        <w:t>一般规定</w:t>
      </w:r>
      <w:bookmarkEnd w:id="36"/>
    </w:p>
    <w:p>
      <w:pPr>
        <w:pStyle w:val="54"/>
        <w:spacing w:line="360" w:lineRule="auto"/>
        <w:rPr>
          <w:shd w:val="clear" w:color="auto" w:fill="EBF1FA" w:themeFill="background1"/>
        </w:rPr>
      </w:pPr>
      <w:r>
        <w:rPr>
          <w:rFonts w:hint="eastAsia"/>
        </w:rPr>
        <w:t>采用玻璃/陶瓷再生细骨料的预拌砂浆性能应满足现行国家标</w:t>
      </w:r>
      <w:r>
        <w:rPr>
          <w:rFonts w:hint="eastAsia"/>
          <w:shd w:val="clear" w:color="auto" w:fill="EBF1FA" w:themeFill="background1"/>
        </w:rPr>
        <w:t>准《预拌砂浆》GB/T 25181的规定，根据砂浆生产工艺，可用于湿拌砂浆和干粉砂浆。</w:t>
      </w:r>
    </w:p>
    <w:p>
      <w:pPr>
        <w:pStyle w:val="27"/>
        <w:spacing w:before="156" w:after="156"/>
        <w:rPr>
          <w:rFonts w:ascii="宋体" w:hAnsi="宋体" w:eastAsia="宋体"/>
        </w:rPr>
      </w:pPr>
      <w:r>
        <w:rPr>
          <w:rFonts w:hint="eastAsia" w:ascii="宋体" w:hAnsi="宋体" w:eastAsia="宋体"/>
        </w:rPr>
        <w:t>玻璃/陶瓷再生细骨料可用于配制砌筑砂浆、抹灰砂浆。</w:t>
      </w:r>
    </w:p>
    <w:p>
      <w:pPr>
        <w:pStyle w:val="54"/>
      </w:pPr>
      <w:r>
        <w:rPr>
          <w:rFonts w:hint="eastAsia"/>
        </w:rPr>
        <w:t>玻璃再生细骨料可用于配制不大于</w:t>
      </w:r>
      <w:r>
        <w:t>M15的砂浆，陶瓷再生细骨料可用于配制不大于M</w:t>
      </w:r>
      <w:r>
        <w:rPr>
          <w:rFonts w:hint="eastAsia"/>
        </w:rPr>
        <w:t>7.</w:t>
      </w:r>
      <w:r>
        <w:t>5的砂浆</w:t>
      </w:r>
      <w:r>
        <w:rPr>
          <w:rFonts w:hint="eastAsia"/>
        </w:rPr>
        <w:t>。</w:t>
      </w:r>
    </w:p>
    <w:p>
      <w:pPr>
        <w:pStyle w:val="54"/>
        <w:spacing w:line="360" w:lineRule="auto"/>
      </w:pPr>
      <w:r>
        <w:rPr>
          <w:rFonts w:hint="eastAsia"/>
        </w:rPr>
        <w:t>玻璃/陶瓷再生细骨料砂浆搅拌时间应通过试验确定。</w:t>
      </w:r>
    </w:p>
    <w:p>
      <w:pPr>
        <w:pStyle w:val="54"/>
        <w:spacing w:line="360" w:lineRule="auto"/>
        <w:rPr>
          <w:shd w:val="clear" w:color="auto" w:fill="EBF1FA" w:themeFill="background1"/>
        </w:rPr>
      </w:pPr>
      <w:r>
        <w:rPr>
          <w:rFonts w:hint="eastAsia"/>
        </w:rPr>
        <w:t>玻璃/陶瓷再生细骨料砂浆用于建筑砌体结构时，应符合现行国家标</w:t>
      </w:r>
      <w:r>
        <w:rPr>
          <w:rFonts w:hint="eastAsia"/>
          <w:shd w:val="clear" w:color="auto" w:fill="EBF1FA" w:themeFill="background1"/>
        </w:rPr>
        <w:t>准《砌体结构设计规范》GB50003的有关规定。</w:t>
      </w:r>
    </w:p>
    <w:p>
      <w:pPr>
        <w:pStyle w:val="27"/>
        <w:spacing w:beforeLines="0" w:afterLines="0" w:line="360" w:lineRule="auto"/>
        <w:rPr>
          <w:shd w:val="clear" w:color="auto" w:fill="EBF1FA" w:themeFill="background1"/>
        </w:rPr>
      </w:pPr>
      <w:r>
        <w:rPr>
          <w:rFonts w:ascii="宋体" w:eastAsia="宋体" w:hAnsiTheme="minorEastAsia"/>
          <w:szCs w:val="21"/>
          <w:shd w:val="clear" w:color="auto" w:fill="EBF1FA" w:themeFill="background1"/>
        </w:rPr>
        <w:t>玻璃</w:t>
      </w:r>
      <w:r>
        <w:rPr>
          <w:rFonts w:hint="eastAsia" w:ascii="宋体" w:eastAsia="宋体" w:hAnsiTheme="minorEastAsia"/>
          <w:szCs w:val="21"/>
          <w:shd w:val="clear" w:color="auto" w:fill="EBF1FA" w:themeFill="background1"/>
        </w:rPr>
        <w:t>/</w:t>
      </w:r>
      <w:r>
        <w:rPr>
          <w:rFonts w:ascii="宋体" w:eastAsia="宋体" w:hAnsiTheme="minorEastAsia"/>
          <w:szCs w:val="21"/>
          <w:shd w:val="clear" w:color="auto" w:fill="EBF1FA" w:themeFill="background1"/>
        </w:rPr>
        <w:t>陶瓷再生细骨料砂浆</w:t>
      </w:r>
      <w:r>
        <w:rPr>
          <w:rFonts w:hint="eastAsia" w:ascii="宋体" w:eastAsia="宋体" w:hAnsiTheme="minorEastAsia"/>
          <w:szCs w:val="21"/>
          <w:shd w:val="clear" w:color="auto" w:fill="EBF1FA" w:themeFill="background1"/>
        </w:rPr>
        <w:t>用于抹灰时，</w:t>
      </w:r>
      <w:r>
        <w:rPr>
          <w:rFonts w:ascii="宋体" w:eastAsia="宋体" w:hAnsiTheme="minorEastAsia"/>
          <w:szCs w:val="21"/>
          <w:shd w:val="clear" w:color="auto" w:fill="EBF1FA" w:themeFill="background1"/>
        </w:rPr>
        <w:t>应符合现行行业标准</w:t>
      </w:r>
      <w:r>
        <w:rPr>
          <w:rFonts w:hint="eastAsia" w:ascii="宋体" w:eastAsia="宋体" w:hAnsiTheme="minorEastAsia"/>
          <w:szCs w:val="21"/>
          <w:shd w:val="clear" w:color="auto" w:fill="EBF1FA" w:themeFill="background1"/>
        </w:rPr>
        <w:t>《抹灰砂浆技术规程》JGJ/T 220的规定；当采用机械喷涂抹灰施工时，应符合现行行业标准《机械喷涂抹灰施工规程》JGJ/T 105的规定。</w:t>
      </w:r>
    </w:p>
    <w:p>
      <w:pPr>
        <w:pStyle w:val="54"/>
        <w:spacing w:line="360" w:lineRule="auto"/>
        <w:rPr>
          <w:shd w:val="clear" w:color="auto" w:fill="EBF1FA" w:themeFill="background1"/>
        </w:rPr>
      </w:pPr>
      <w:r>
        <w:rPr>
          <w:rFonts w:hint="eastAsia"/>
          <w:shd w:val="clear" w:color="auto" w:fill="EBF1FA" w:themeFill="background1"/>
        </w:rPr>
        <w:t>玻璃/陶瓷再生细骨料砂浆的性能试验方法应按现行行业标准《建筑砂浆基本性能试验方法标准》JGJ/T 70的规定执行。</w:t>
      </w:r>
    </w:p>
    <w:p>
      <w:pPr>
        <w:pStyle w:val="51"/>
        <w:spacing w:before="156" w:after="156"/>
        <w:rPr>
          <w:szCs w:val="28"/>
        </w:rPr>
      </w:pPr>
      <w:bookmarkStart w:id="37" w:name="_Toc29547178"/>
      <w:r>
        <w:rPr>
          <w:rFonts w:hint="eastAsia"/>
          <w:szCs w:val="28"/>
        </w:rPr>
        <w:t>配合比设计</w:t>
      </w:r>
      <w:bookmarkEnd w:id="37"/>
    </w:p>
    <w:p>
      <w:pPr>
        <w:pStyle w:val="27"/>
        <w:spacing w:beforeLines="0" w:afterLines="0" w:line="360" w:lineRule="auto"/>
        <w:rPr>
          <w:rFonts w:asciiTheme="minorEastAsia" w:hAnsiTheme="minorEastAsia" w:eastAsiaTheme="minorEastAsia"/>
        </w:rPr>
      </w:pPr>
      <w:r>
        <w:rPr>
          <w:rFonts w:hint="eastAsia" w:asciiTheme="minorEastAsia" w:hAnsiTheme="minorEastAsia" w:eastAsiaTheme="minorEastAsia"/>
        </w:rPr>
        <w:t>玻璃/陶瓷再生细骨预拌砂浆用原材料应符合下列规定：</w:t>
      </w:r>
    </w:p>
    <w:p>
      <w:pPr>
        <w:pStyle w:val="31"/>
        <w:ind w:left="578" w:hanging="158"/>
      </w:pPr>
      <w:r>
        <w:rPr>
          <w:rFonts w:hint="eastAsia"/>
        </w:rPr>
        <w:t>水泥可使用普通硅酸盐水泥或砌筑水泥，应采用低碱水泥，水泥的碱含量（以Na</w:t>
      </w:r>
      <w:r>
        <w:rPr>
          <w:vertAlign w:val="subscript"/>
        </w:rPr>
        <w:t>2</w:t>
      </w:r>
      <w:r>
        <w:t>O</w:t>
      </w:r>
      <w:r>
        <w:rPr>
          <w:rFonts w:hint="eastAsia"/>
        </w:rPr>
        <w:t>计，即K</w:t>
      </w:r>
      <w:r>
        <w:rPr>
          <w:vertAlign w:val="subscript"/>
        </w:rPr>
        <w:t>2</w:t>
      </w:r>
      <w:r>
        <w:t>O</w:t>
      </w:r>
      <w:r>
        <w:rPr>
          <w:rFonts w:hint="eastAsia"/>
        </w:rPr>
        <w:t>×</w:t>
      </w:r>
      <w:r>
        <w:t>0.658</w:t>
      </w:r>
      <w:r>
        <w:rPr>
          <w:rFonts w:hint="eastAsia"/>
        </w:rPr>
        <w:t>+</w:t>
      </w:r>
      <w:r>
        <w:t>N</w:t>
      </w:r>
      <w:r>
        <w:rPr>
          <w:rFonts w:hint="eastAsia"/>
        </w:rPr>
        <w:t>a</w:t>
      </w:r>
      <w:r>
        <w:rPr>
          <w:vertAlign w:val="subscript"/>
        </w:rPr>
        <w:t>2</w:t>
      </w:r>
      <w:r>
        <w:t>O</w:t>
      </w:r>
      <w:r>
        <w:rPr>
          <w:rFonts w:hint="eastAsia"/>
        </w:rPr>
        <w:t>）不得</w:t>
      </w:r>
      <w:r>
        <w:t>超过</w:t>
      </w:r>
      <w:r>
        <w:rPr>
          <w:rFonts w:hint="eastAsia"/>
        </w:rPr>
        <w:t>1.2%；</w:t>
      </w:r>
    </w:p>
    <w:p>
      <w:pPr>
        <w:pStyle w:val="31"/>
        <w:ind w:left="578" w:hanging="158"/>
      </w:pPr>
      <w:r>
        <w:rPr>
          <w:rFonts w:hint="eastAsia"/>
        </w:rPr>
        <w:t>细骨料应符合GB/T 14684的规定，且不应含有粒径大于4.75mm的颗粒。天然砂的含泥量应小于0.5%，泥块含量应小于2.0%；</w:t>
      </w:r>
    </w:p>
    <w:p>
      <w:pPr>
        <w:pStyle w:val="31"/>
        <w:ind w:left="578" w:hanging="158"/>
      </w:pPr>
      <w:r>
        <w:rPr>
          <w:rFonts w:hint="eastAsia"/>
        </w:rPr>
        <w:t>其他原材料应符合现行国家标准《预拌砂浆》GB/T 25181和行业标准《抹灰砂浆技术规程》JGJ/T 220的规定。</w:t>
      </w:r>
    </w:p>
    <w:p>
      <w:pPr>
        <w:pStyle w:val="27"/>
        <w:spacing w:beforeLines="0" w:afterLines="0" w:line="360" w:lineRule="auto"/>
        <w:rPr>
          <w:rFonts w:ascii="宋体" w:eastAsia="宋体" w:hAnsiTheme="minorEastAsia"/>
          <w:szCs w:val="21"/>
          <w:shd w:val="clear" w:color="auto" w:fill="EBF1FA" w:themeFill="background1"/>
        </w:rPr>
      </w:pPr>
      <w:r>
        <w:rPr>
          <w:rFonts w:hint="eastAsia" w:ascii="宋体" w:eastAsia="宋体" w:hAnsiTheme="minorEastAsia"/>
          <w:szCs w:val="21"/>
        </w:rPr>
        <w:t>玻璃</w:t>
      </w:r>
      <w:r>
        <w:rPr>
          <w:rFonts w:ascii="宋体" w:eastAsia="宋体" w:hAnsiTheme="minorEastAsia"/>
          <w:szCs w:val="21"/>
        </w:rPr>
        <w:t>/陶瓷再生细骨料砂浆配合比设计应按按现行行业标准</w:t>
      </w:r>
      <w:r>
        <w:rPr>
          <w:rFonts w:ascii="宋体" w:eastAsia="宋体" w:hAnsiTheme="minorEastAsia"/>
          <w:szCs w:val="21"/>
          <w:shd w:val="clear" w:color="auto" w:fill="EBF1FA" w:themeFill="background1"/>
        </w:rPr>
        <w:t>《砌筑砂浆配合比设计规程》JGJ/T 98规定步骤执行</w:t>
      </w:r>
      <w:r>
        <w:rPr>
          <w:rFonts w:hint="eastAsia" w:ascii="宋体" w:eastAsia="宋体" w:hAnsiTheme="minorEastAsia"/>
          <w:szCs w:val="21"/>
          <w:shd w:val="clear" w:color="auto" w:fill="EBF1FA" w:themeFill="background1"/>
        </w:rPr>
        <w:t>，</w:t>
      </w:r>
      <w:r>
        <w:rPr>
          <w:rFonts w:ascii="宋体" w:eastAsia="宋体" w:hAnsiTheme="minorEastAsia"/>
          <w:szCs w:val="21"/>
          <w:shd w:val="clear" w:color="auto" w:fill="EBF1FA" w:themeFill="background1"/>
        </w:rPr>
        <w:t>且应符合以下规定</w:t>
      </w:r>
      <w:r>
        <w:rPr>
          <w:rFonts w:hint="eastAsia" w:ascii="宋体" w:eastAsia="宋体" w:hAnsiTheme="minorEastAsia"/>
          <w:szCs w:val="21"/>
          <w:shd w:val="clear" w:color="auto" w:fill="EBF1FA" w:themeFill="background1"/>
        </w:rPr>
        <w:t>：</w:t>
      </w:r>
    </w:p>
    <w:p>
      <w:pPr>
        <w:pStyle w:val="54"/>
        <w:numPr>
          <w:ilvl w:val="0"/>
          <w:numId w:val="0"/>
        </w:numPr>
        <w:spacing w:line="360" w:lineRule="auto"/>
        <w:ind w:firstLine="420" w:firstLineChars="200"/>
      </w:pPr>
      <w:r>
        <w:rPr>
          <w:rFonts w:hint="eastAsia"/>
        </w:rPr>
        <w:t>1应满足砂浆和易性、强度、体积稳定性和耐久性的要求；</w:t>
      </w:r>
    </w:p>
    <w:p>
      <w:pPr>
        <w:pStyle w:val="54"/>
        <w:numPr>
          <w:ilvl w:val="0"/>
          <w:numId w:val="0"/>
        </w:numPr>
        <w:spacing w:line="360" w:lineRule="auto"/>
        <w:ind w:firstLine="420" w:firstLineChars="200"/>
      </w:pPr>
      <w:r>
        <w:rPr>
          <w:rFonts w:hint="eastAsia"/>
        </w:rPr>
        <w:t>2玻璃/陶瓷再生细骨料取代率（δ</w:t>
      </w:r>
      <w:r>
        <w:rPr>
          <w:rFonts w:hint="eastAsia"/>
          <w:sz w:val="18"/>
          <w:szCs w:val="20"/>
        </w:rPr>
        <w:t>s</w:t>
      </w:r>
      <w:r>
        <w:rPr>
          <w:rFonts w:hint="eastAsia"/>
        </w:rPr>
        <w:t>）应符合表6.2.2的规定：</w:t>
      </w:r>
    </w:p>
    <w:p>
      <w:pPr>
        <w:pStyle w:val="54"/>
        <w:numPr>
          <w:ilvl w:val="0"/>
          <w:numId w:val="0"/>
        </w:numPr>
        <w:spacing w:line="360" w:lineRule="auto"/>
        <w:jc w:val="center"/>
      </w:pPr>
    </w:p>
    <w:p>
      <w:pPr>
        <w:pStyle w:val="54"/>
        <w:numPr>
          <w:ilvl w:val="0"/>
          <w:numId w:val="0"/>
        </w:numPr>
        <w:spacing w:line="360" w:lineRule="auto"/>
        <w:jc w:val="center"/>
      </w:pPr>
      <w:r>
        <w:rPr>
          <w:rFonts w:hint="eastAsia"/>
        </w:rPr>
        <w:t>表6.2.2 玻璃/陶瓷再生细骨料取代率</w:t>
      </w:r>
    </w:p>
    <w:tbl>
      <w:tblPr>
        <w:tblStyle w:val="19"/>
        <w:tblW w:w="81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5"/>
        <w:gridCol w:w="1985"/>
        <w:gridCol w:w="1555"/>
        <w:gridCol w:w="1417"/>
        <w:gridCol w:w="14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790" w:type="dxa"/>
            <w:gridSpan w:val="2"/>
          </w:tcPr>
          <w:p>
            <w:pPr>
              <w:pStyle w:val="58"/>
              <w:spacing w:line="360" w:lineRule="auto"/>
              <w:rPr>
                <w:rFonts w:ascii="宋体" w:hAnsi="宋体" w:eastAsia="宋体" w:cs="宋体"/>
              </w:rPr>
            </w:pPr>
            <w:r>
              <w:rPr>
                <w:rFonts w:hint="eastAsia" w:ascii="宋体" w:hAnsi="宋体" w:eastAsia="宋体" w:cs="宋体"/>
              </w:rPr>
              <w:t>强度等级</w:t>
            </w:r>
          </w:p>
        </w:tc>
        <w:tc>
          <w:tcPr>
            <w:tcW w:w="1555" w:type="dxa"/>
          </w:tcPr>
          <w:p>
            <w:pPr>
              <w:pStyle w:val="58"/>
              <w:spacing w:line="360" w:lineRule="auto"/>
              <w:rPr>
                <w:rFonts w:ascii="宋体" w:hAnsi="宋体" w:eastAsia="宋体" w:cs="宋体"/>
              </w:rPr>
            </w:pPr>
            <w:r>
              <w:rPr>
                <w:rFonts w:ascii="宋体" w:hAnsi="宋体" w:eastAsia="宋体" w:cs="宋体"/>
              </w:rPr>
              <w:t>M5</w:t>
            </w:r>
          </w:p>
        </w:tc>
        <w:tc>
          <w:tcPr>
            <w:tcW w:w="1417" w:type="dxa"/>
          </w:tcPr>
          <w:p>
            <w:pPr>
              <w:pStyle w:val="58"/>
              <w:spacing w:line="360" w:lineRule="auto"/>
              <w:rPr>
                <w:rFonts w:ascii="宋体" w:hAnsi="宋体" w:eastAsia="宋体" w:cs="宋体"/>
              </w:rPr>
            </w:pPr>
            <w:r>
              <w:rPr>
                <w:rFonts w:hint="eastAsia" w:ascii="宋体" w:hAnsi="宋体" w:eastAsia="宋体" w:cs="宋体"/>
              </w:rPr>
              <w:t>M</w:t>
            </w:r>
            <w:r>
              <w:rPr>
                <w:rFonts w:ascii="宋体" w:hAnsi="宋体" w:eastAsia="宋体" w:cs="宋体"/>
              </w:rPr>
              <w:t>7.5</w:t>
            </w:r>
          </w:p>
        </w:tc>
        <w:tc>
          <w:tcPr>
            <w:tcW w:w="1407" w:type="dxa"/>
          </w:tcPr>
          <w:p>
            <w:pPr>
              <w:pStyle w:val="58"/>
              <w:spacing w:line="360" w:lineRule="auto"/>
              <w:rPr>
                <w:rFonts w:ascii="宋体" w:hAnsi="宋体" w:eastAsia="宋体" w:cs="宋体"/>
              </w:rPr>
            </w:pPr>
            <w:r>
              <w:rPr>
                <w:rFonts w:hint="eastAsia" w:ascii="宋体" w:hAnsi="宋体" w:eastAsia="宋体" w:cs="宋体"/>
              </w:rPr>
              <w:t>M10</w:t>
            </w:r>
            <w:r>
              <w:rPr>
                <w:rFonts w:ascii="Times New Roman" w:hAnsi="Times New Roman" w:eastAsia="宋体" w:cs="Times New Roman"/>
              </w:rPr>
              <w:t>~</w:t>
            </w:r>
            <w:r>
              <w:rPr>
                <w:rFonts w:hint="eastAsia" w:ascii="宋体" w:hAnsi="宋体" w:eastAsia="宋体" w:cs="宋体"/>
              </w:rPr>
              <w:t>M15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05" w:type="dxa"/>
            <w:vMerge w:val="restart"/>
            <w:vAlign w:val="center"/>
          </w:tcPr>
          <w:p>
            <w:pPr>
              <w:pStyle w:val="58"/>
              <w:spacing w:line="360" w:lineRule="auto"/>
              <w:rPr>
                <w:rFonts w:ascii="宋体" w:hAnsi="宋体" w:eastAsia="宋体" w:cs="宋体"/>
              </w:rPr>
            </w:pPr>
            <w:r>
              <w:rPr>
                <w:rFonts w:hint="eastAsia" w:ascii="宋体" w:hAnsi="宋体" w:eastAsia="宋体" w:cs="宋体"/>
              </w:rPr>
              <w:t>取代率，%</w:t>
            </w:r>
          </w:p>
        </w:tc>
        <w:tc>
          <w:tcPr>
            <w:tcW w:w="1985" w:type="dxa"/>
          </w:tcPr>
          <w:p>
            <w:pPr>
              <w:pStyle w:val="58"/>
              <w:spacing w:line="360" w:lineRule="auto"/>
              <w:rPr>
                <w:rFonts w:ascii="宋体" w:hAnsi="宋体" w:eastAsia="宋体" w:cs="宋体"/>
              </w:rPr>
            </w:pPr>
            <w:r>
              <w:rPr>
                <w:rFonts w:ascii="宋体" w:hAnsi="宋体" w:eastAsia="宋体" w:cs="宋体"/>
              </w:rPr>
              <w:t>玻璃再生细骨料</w:t>
            </w:r>
          </w:p>
        </w:tc>
        <w:tc>
          <w:tcPr>
            <w:tcW w:w="2972" w:type="dxa"/>
            <w:gridSpan w:val="2"/>
          </w:tcPr>
          <w:p>
            <w:pPr>
              <w:pStyle w:val="58"/>
              <w:spacing w:line="360" w:lineRule="auto"/>
              <w:rPr>
                <w:rFonts w:ascii="宋体" w:hAnsi="宋体" w:eastAsia="宋体" w:cs="宋体"/>
              </w:rPr>
            </w:pPr>
            <w:r>
              <w:rPr>
                <w:rFonts w:hint="eastAsia" w:ascii="宋体" w:hAnsi="宋体" w:eastAsia="宋体" w:cs="宋体"/>
              </w:rPr>
              <w:t>≤30</w:t>
            </w:r>
          </w:p>
        </w:tc>
        <w:tc>
          <w:tcPr>
            <w:tcW w:w="1407" w:type="dxa"/>
          </w:tcPr>
          <w:p>
            <w:pPr>
              <w:pStyle w:val="58"/>
              <w:spacing w:line="360" w:lineRule="auto"/>
              <w:rPr>
                <w:rFonts w:ascii="宋体" w:hAnsi="宋体" w:eastAsia="宋体" w:cs="宋体"/>
              </w:rPr>
            </w:pPr>
            <w:r>
              <w:rPr>
                <w:rFonts w:hint="eastAsia" w:ascii="宋体" w:hAnsi="宋体" w:eastAsia="宋体" w:cs="宋体"/>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05" w:type="dxa"/>
            <w:vMerge w:val="continue"/>
          </w:tcPr>
          <w:p>
            <w:pPr>
              <w:pStyle w:val="58"/>
              <w:spacing w:line="360" w:lineRule="auto"/>
              <w:rPr>
                <w:rFonts w:ascii="宋体" w:hAnsi="宋体" w:eastAsia="宋体" w:cs="宋体"/>
              </w:rPr>
            </w:pPr>
          </w:p>
        </w:tc>
        <w:tc>
          <w:tcPr>
            <w:tcW w:w="1985" w:type="dxa"/>
          </w:tcPr>
          <w:p>
            <w:pPr>
              <w:pStyle w:val="58"/>
              <w:spacing w:line="360" w:lineRule="auto"/>
              <w:rPr>
                <w:rFonts w:ascii="宋体" w:hAnsi="宋体" w:eastAsia="宋体" w:cs="宋体"/>
              </w:rPr>
            </w:pPr>
            <w:r>
              <w:rPr>
                <w:rFonts w:hint="eastAsia" w:ascii="宋体" w:hAnsi="宋体" w:eastAsia="宋体" w:cs="宋体"/>
              </w:rPr>
              <w:t>陶瓷再生细骨料</w:t>
            </w:r>
          </w:p>
        </w:tc>
        <w:tc>
          <w:tcPr>
            <w:tcW w:w="2972" w:type="dxa"/>
            <w:gridSpan w:val="2"/>
          </w:tcPr>
          <w:p>
            <w:pPr>
              <w:pStyle w:val="58"/>
              <w:spacing w:line="360" w:lineRule="auto"/>
              <w:rPr>
                <w:rFonts w:ascii="宋体" w:hAnsi="宋体" w:eastAsia="宋体" w:cs="宋体"/>
              </w:rPr>
            </w:pPr>
            <w:r>
              <w:rPr>
                <w:rFonts w:hint="eastAsia" w:ascii="宋体" w:hAnsi="宋体" w:eastAsia="宋体" w:cs="宋体"/>
              </w:rPr>
              <w:t>≤20</w:t>
            </w:r>
          </w:p>
        </w:tc>
        <w:tc>
          <w:tcPr>
            <w:tcW w:w="1407" w:type="dxa"/>
          </w:tcPr>
          <w:p>
            <w:pPr>
              <w:pStyle w:val="58"/>
              <w:spacing w:line="360" w:lineRule="auto"/>
              <w:rPr>
                <w:rFonts w:ascii="宋体" w:hAnsi="宋体" w:eastAsia="宋体" w:cs="宋体"/>
              </w:rPr>
            </w:pPr>
            <w:r>
              <w:rPr>
                <w:rFonts w:ascii="宋体" w:hAnsi="宋体" w:eastAsia="宋体" w:cs="宋体"/>
              </w:rPr>
              <w:t>/</w:t>
            </w:r>
          </w:p>
        </w:tc>
      </w:tr>
    </w:tbl>
    <w:p>
      <w:pPr>
        <w:pStyle w:val="31"/>
        <w:numPr>
          <w:ilvl w:val="0"/>
          <w:numId w:val="0"/>
        </w:numPr>
        <w:ind w:left="577" w:leftChars="200" w:hanging="157" w:hangingChars="75"/>
      </w:pPr>
      <w:r>
        <w:rPr>
          <w:rFonts w:hint="eastAsia"/>
        </w:rPr>
        <w:t>3掺入陶瓷再生细骨料的砂浆，应通过调整外加剂的组分，使陶瓷再生细骨料砂浆与基准砂浆的含气量之差不大于</w:t>
      </w:r>
      <w:r>
        <w:t>1.0%。</w:t>
      </w:r>
    </w:p>
    <w:p>
      <w:pPr>
        <w:pStyle w:val="27"/>
        <w:spacing w:beforeLines="0" w:afterLines="0" w:line="360" w:lineRule="auto"/>
        <w:rPr>
          <w:rFonts w:ascii="宋体" w:eastAsia="宋体" w:hAnsiTheme="minorEastAsia"/>
          <w:szCs w:val="21"/>
        </w:rPr>
      </w:pPr>
      <w:r>
        <w:rPr>
          <w:rFonts w:hint="eastAsia" w:ascii="宋体" w:eastAsia="宋体" w:hAnsiTheme="minorEastAsia"/>
          <w:szCs w:val="21"/>
        </w:rPr>
        <w:t>当砂浆中己掺用其他再生细骨料时，玻璃</w:t>
      </w:r>
      <w:r>
        <w:rPr>
          <w:rFonts w:ascii="宋体" w:eastAsia="宋体" w:hAnsiTheme="minorEastAsia"/>
          <w:szCs w:val="21"/>
        </w:rPr>
        <w:t>/陶瓷再生细骨料的取代率应通过试验确定。</w:t>
      </w:r>
    </w:p>
    <w:p>
      <w:pPr>
        <w:pStyle w:val="51"/>
        <w:spacing w:before="156" w:after="156"/>
        <w:rPr>
          <w:szCs w:val="28"/>
        </w:rPr>
      </w:pPr>
      <w:bookmarkStart w:id="38" w:name="_Toc29547179"/>
      <w:r>
        <w:rPr>
          <w:rFonts w:hint="eastAsia"/>
          <w:szCs w:val="28"/>
        </w:rPr>
        <w:t>制备和运输</w:t>
      </w:r>
      <w:bookmarkEnd w:id="38"/>
    </w:p>
    <w:p>
      <w:pPr>
        <w:pStyle w:val="54"/>
        <w:spacing w:line="360" w:lineRule="auto"/>
      </w:pPr>
      <w:r>
        <w:rPr>
          <w:rFonts w:hint="eastAsia"/>
        </w:rPr>
        <w:t>玻璃/陶瓷再生细骨料应按厂家、类别、规格分开堆放储存，且应采取防止混入杂物、人为碾压、污染和雨淋的措施，贮存地面应为能排水的硬质地面。</w:t>
      </w:r>
    </w:p>
    <w:p>
      <w:pPr>
        <w:pStyle w:val="54"/>
        <w:spacing w:line="360" w:lineRule="auto"/>
      </w:pPr>
      <w:r>
        <w:rPr>
          <w:rFonts w:hint="eastAsia"/>
        </w:rPr>
        <w:t>玻璃/陶瓷再生细骨料预拌砂浆需</w:t>
      </w:r>
      <w:r>
        <w:t>在专业生产厂以预拌方式生产</w:t>
      </w:r>
      <w:r>
        <w:rPr>
          <w:rFonts w:hint="eastAsia"/>
        </w:rPr>
        <w:t>，其</w:t>
      </w:r>
      <w:r>
        <w:t>制备应符合现行国家标准《预拌砂浆》GB/T 25181的相关规定</w:t>
      </w:r>
      <w:r>
        <w:rPr>
          <w:rFonts w:hint="eastAsia"/>
        </w:rPr>
        <w:t>。</w:t>
      </w:r>
    </w:p>
    <w:p>
      <w:pPr>
        <w:pStyle w:val="54"/>
        <w:spacing w:line="360" w:lineRule="auto"/>
      </w:pPr>
      <w:r>
        <w:rPr>
          <w:rFonts w:hint="eastAsia"/>
        </w:rPr>
        <w:t>玻璃/陶瓷再生细骨料湿拌砂浆应采用搅拌运输车运送，在运输过程中应保证砂浆拌合物的均匀性，不应产生分层、离析的现象。</w:t>
      </w:r>
    </w:p>
    <w:p>
      <w:pPr>
        <w:pStyle w:val="54"/>
        <w:spacing w:line="360" w:lineRule="auto"/>
      </w:pPr>
      <w:r>
        <w:rPr>
          <w:rFonts w:hint="eastAsia"/>
        </w:rPr>
        <w:t>装载玻璃/陶瓷再生细骨料湿拌砂浆的运输车，在装料前应检查筒体内是否有积水、积浆和杂物，运输和卸料过程中不应随意加水。</w:t>
      </w:r>
    </w:p>
    <w:p>
      <w:pPr>
        <w:pStyle w:val="54"/>
        <w:spacing w:line="360" w:lineRule="auto"/>
      </w:pPr>
      <w:r>
        <w:rPr>
          <w:rFonts w:hint="eastAsia"/>
        </w:rPr>
        <w:t>玻璃/陶瓷再生细骨料干混砂浆使用袋装包装时，在运输和贮存过程中，应采取防止雨淋、受潮的措施。</w:t>
      </w:r>
    </w:p>
    <w:p>
      <w:pPr>
        <w:pStyle w:val="51"/>
        <w:spacing w:before="156" w:after="156"/>
        <w:rPr>
          <w:szCs w:val="28"/>
        </w:rPr>
      </w:pPr>
      <w:bookmarkStart w:id="39" w:name="_Toc29547180"/>
      <w:r>
        <w:rPr>
          <w:rFonts w:hint="eastAsia"/>
          <w:szCs w:val="28"/>
        </w:rPr>
        <w:t>质量检验与验收</w:t>
      </w:r>
      <w:bookmarkEnd w:id="39"/>
    </w:p>
    <w:p>
      <w:pPr>
        <w:pStyle w:val="54"/>
        <w:spacing w:line="360" w:lineRule="auto"/>
      </w:pPr>
      <w:r>
        <w:rPr>
          <w:rFonts w:hint="eastAsia"/>
        </w:rPr>
        <w:t>玻璃/陶瓷再生细骨料砂浆应按照《预拌砂浆》GB/T 25181的规定进行质量检验。</w:t>
      </w:r>
    </w:p>
    <w:p>
      <w:pPr>
        <w:pStyle w:val="54"/>
        <w:spacing w:line="360" w:lineRule="auto"/>
        <w:rPr>
          <w:shd w:val="clear" w:color="auto" w:fill="EBF1FA" w:themeFill="background1"/>
        </w:rPr>
      </w:pPr>
      <w:r>
        <w:rPr>
          <w:rFonts w:hint="eastAsia"/>
        </w:rPr>
        <w:t>玻璃/陶瓷再生细骨料预拌砂浆的施工质量验收应按现行行业标准</w:t>
      </w:r>
      <w:r>
        <w:rPr>
          <w:rFonts w:hint="eastAsia"/>
          <w:shd w:val="clear" w:color="auto" w:fill="EBF1FA" w:themeFill="background1"/>
        </w:rPr>
        <w:t>《预拌砂浆应用技术规程》JGJ/T 223和福建省地方标准《福建省预拌砂浆生产与应用技术规程》DBJ/T 13-76的规定执行。</w:t>
      </w:r>
    </w:p>
    <w:p>
      <w:pPr>
        <w:jc w:val="left"/>
      </w:pPr>
      <w:r>
        <w:rPr>
          <w:rFonts w:hint="eastAsia"/>
        </w:rPr>
        <w:br w:type="page"/>
      </w:r>
    </w:p>
    <w:p>
      <w:pPr>
        <w:pStyle w:val="24"/>
        <w:numPr>
          <w:ilvl w:val="0"/>
          <w:numId w:val="0"/>
        </w:numPr>
        <w:spacing w:before="156" w:after="156"/>
      </w:pPr>
      <w:bookmarkStart w:id="40" w:name="_Toc29547181"/>
      <w:r>
        <w:rPr>
          <w:rFonts w:hint="eastAsia"/>
        </w:rPr>
        <w:t>本规程用词说明</w:t>
      </w:r>
      <w:bookmarkEnd w:id="40"/>
    </w:p>
    <w:p>
      <w:pPr>
        <w:pStyle w:val="31"/>
        <w:numPr>
          <w:ilvl w:val="0"/>
          <w:numId w:val="0"/>
        </w:numPr>
        <w:ind w:left="210" w:leftChars="100" w:firstLine="210" w:firstLineChars="100"/>
      </w:pPr>
      <w:r>
        <w:t xml:space="preserve">1 </w:t>
      </w:r>
      <w:r>
        <w:rPr>
          <w:rFonts w:hint="eastAsia"/>
        </w:rPr>
        <w:t>为便于在执行本规程条文时区别对待，对要求严格程度不同的用词说明如下:</w:t>
      </w:r>
    </w:p>
    <w:p>
      <w:pPr>
        <w:pStyle w:val="33"/>
        <w:spacing w:line="360" w:lineRule="auto"/>
        <w:ind w:left="420" w:leftChars="200" w:firstLine="0"/>
      </w:pPr>
      <w:r>
        <w:rPr>
          <w:rFonts w:hint="eastAsia"/>
        </w:rPr>
        <w:t>表示很严格，非这样做不可的:正面词采用“必须”，反面词采用“严禁”；</w:t>
      </w:r>
    </w:p>
    <w:p>
      <w:pPr>
        <w:pStyle w:val="33"/>
        <w:spacing w:line="360" w:lineRule="auto"/>
        <w:ind w:left="420" w:leftChars="200" w:firstLine="0"/>
      </w:pPr>
      <w:r>
        <w:rPr>
          <w:rFonts w:hint="eastAsia"/>
        </w:rPr>
        <w:t>表示严格，在正常情况下均应这样做的:正面词采用“应”，反面词采用“不应”或“不得”；</w:t>
      </w:r>
    </w:p>
    <w:p>
      <w:pPr>
        <w:pStyle w:val="33"/>
        <w:spacing w:line="360" w:lineRule="auto"/>
        <w:ind w:left="420" w:leftChars="200" w:firstLine="0"/>
      </w:pPr>
      <w:r>
        <w:rPr>
          <w:rFonts w:hint="eastAsia"/>
        </w:rPr>
        <w:t>表示允许稍有选择，在条件许可时首先应这样做的:正面词采用“宜”，反面词采用“不宜”;</w:t>
      </w:r>
    </w:p>
    <w:p>
      <w:pPr>
        <w:pStyle w:val="33"/>
        <w:spacing w:line="360" w:lineRule="auto"/>
        <w:ind w:left="420" w:leftChars="200" w:firstLine="0"/>
      </w:pPr>
      <w:r>
        <w:rPr>
          <w:rFonts w:hint="eastAsia"/>
        </w:rPr>
        <w:t>表示有选择，在一定条件下可以这样做的，采用“可”。</w:t>
      </w:r>
    </w:p>
    <w:p>
      <w:pPr>
        <w:pStyle w:val="31"/>
        <w:numPr>
          <w:ilvl w:val="0"/>
          <w:numId w:val="0"/>
        </w:numPr>
        <w:ind w:left="577" w:leftChars="200"/>
      </w:pPr>
      <w:r>
        <w:rPr>
          <w:rFonts w:hint="eastAsia"/>
        </w:rPr>
        <w:t>2</w:t>
      </w:r>
      <w:r>
        <w:t xml:space="preserve"> </w:t>
      </w:r>
      <w:r>
        <w:rPr>
          <w:rFonts w:hint="eastAsia"/>
        </w:rPr>
        <w:t>条文中指明应按其他有关标准执行的写法为:“应......的规定(或要求)”或“应按...执行”。</w:t>
      </w:r>
    </w:p>
    <w:p>
      <w:r>
        <w:rPr>
          <w:rFonts w:hint="eastAsia"/>
        </w:rPr>
        <w:br w:type="page"/>
      </w:r>
    </w:p>
    <w:p>
      <w:pPr>
        <w:pStyle w:val="24"/>
        <w:numPr>
          <w:ilvl w:val="0"/>
          <w:numId w:val="0"/>
        </w:numPr>
        <w:spacing w:before="156" w:after="156" w:line="360" w:lineRule="auto"/>
      </w:pPr>
      <w:bookmarkStart w:id="41" w:name="_Toc29547182"/>
      <w:r>
        <w:rPr>
          <w:rFonts w:hint="eastAsia"/>
        </w:rPr>
        <w:t>引用标准名录</w:t>
      </w:r>
      <w:bookmarkEnd w:id="41"/>
    </w:p>
    <w:p>
      <w:pPr>
        <w:pStyle w:val="31"/>
        <w:numPr>
          <w:ilvl w:val="4"/>
          <w:numId w:val="5"/>
        </w:numPr>
        <w:ind w:left="420" w:firstLine="0" w:firstLineChars="0"/>
        <w:rPr>
          <w:shd w:val="clear" w:color="auto" w:fill="EBF1FA" w:themeFill="background1"/>
        </w:rPr>
      </w:pPr>
      <w:r>
        <w:rPr>
          <w:rFonts w:hint="eastAsia"/>
          <w:shd w:val="clear" w:color="auto" w:fill="EBF1FA" w:themeFill="background1"/>
        </w:rPr>
        <w:t>《用于水泥和混凝土中的粉煤灰》GB/T 1596</w:t>
      </w:r>
    </w:p>
    <w:p>
      <w:pPr>
        <w:pStyle w:val="31"/>
        <w:numPr>
          <w:ilvl w:val="4"/>
          <w:numId w:val="5"/>
        </w:numPr>
        <w:ind w:left="420" w:firstLine="0" w:firstLineChars="0"/>
        <w:rPr>
          <w:shd w:val="clear" w:color="auto" w:fill="EBF1FA" w:themeFill="background1"/>
        </w:rPr>
      </w:pPr>
      <w:r>
        <w:rPr>
          <w:rFonts w:hint="eastAsia"/>
          <w:shd w:val="clear" w:color="auto" w:fill="EBF1FA" w:themeFill="background1"/>
        </w:rPr>
        <w:t>《建筑材料放射性核素限量》GB 6566</w:t>
      </w:r>
    </w:p>
    <w:p>
      <w:pPr>
        <w:pStyle w:val="31"/>
        <w:numPr>
          <w:ilvl w:val="4"/>
          <w:numId w:val="5"/>
        </w:numPr>
        <w:ind w:left="420" w:firstLine="0" w:firstLineChars="0"/>
        <w:rPr>
          <w:shd w:val="clear" w:color="auto" w:fill="EBF1FA" w:themeFill="background1"/>
        </w:rPr>
      </w:pPr>
      <w:r>
        <w:rPr>
          <w:rFonts w:hint="eastAsia"/>
          <w:shd w:val="clear" w:color="auto" w:fill="EBF1FA" w:themeFill="background1"/>
        </w:rPr>
        <w:t>《混凝土外加剂》GB 8076</w:t>
      </w:r>
    </w:p>
    <w:p>
      <w:pPr>
        <w:pStyle w:val="31"/>
        <w:numPr>
          <w:ilvl w:val="4"/>
          <w:numId w:val="5"/>
        </w:numPr>
        <w:ind w:left="420" w:firstLine="0" w:firstLineChars="0"/>
        <w:rPr>
          <w:shd w:val="clear" w:color="auto" w:fill="EBF1FA" w:themeFill="background1"/>
        </w:rPr>
      </w:pPr>
      <w:r>
        <w:rPr>
          <w:rFonts w:hint="eastAsia"/>
          <w:shd w:val="clear" w:color="auto" w:fill="EBF1FA" w:themeFill="background1"/>
        </w:rPr>
        <w:t>《预拌混凝土》GB/T 14902</w:t>
      </w:r>
    </w:p>
    <w:p>
      <w:pPr>
        <w:pStyle w:val="31"/>
        <w:numPr>
          <w:ilvl w:val="4"/>
          <w:numId w:val="5"/>
        </w:numPr>
        <w:ind w:left="420" w:firstLine="0" w:firstLineChars="0"/>
        <w:rPr>
          <w:shd w:val="clear" w:color="auto" w:fill="EBF1FA" w:themeFill="background1"/>
        </w:rPr>
      </w:pPr>
      <w:r>
        <w:rPr>
          <w:rFonts w:hint="eastAsia"/>
          <w:shd w:val="clear" w:color="auto" w:fill="EBF1FA" w:themeFill="background1"/>
        </w:rPr>
        <w:t>《用于水泥和混凝土中的粒化高炉矿渣粉》GB/T 18046</w:t>
      </w:r>
    </w:p>
    <w:p>
      <w:pPr>
        <w:pStyle w:val="31"/>
        <w:numPr>
          <w:ilvl w:val="4"/>
          <w:numId w:val="5"/>
        </w:numPr>
        <w:ind w:left="420" w:firstLine="0" w:firstLineChars="0"/>
        <w:rPr>
          <w:shd w:val="clear" w:color="auto" w:fill="EBF1FA" w:themeFill="background1"/>
        </w:rPr>
      </w:pPr>
      <w:r>
        <w:rPr>
          <w:rFonts w:hint="eastAsia"/>
          <w:shd w:val="clear" w:color="auto" w:fill="EBF1FA" w:themeFill="background1"/>
        </w:rPr>
        <w:t>《高强高性能混凝土用矿物外加剂》GB/T 18736</w:t>
      </w:r>
    </w:p>
    <w:p>
      <w:pPr>
        <w:pStyle w:val="31"/>
        <w:numPr>
          <w:ilvl w:val="4"/>
          <w:numId w:val="5"/>
        </w:numPr>
        <w:ind w:left="420" w:firstLine="0" w:firstLineChars="0"/>
        <w:rPr>
          <w:shd w:val="clear" w:color="auto" w:fill="EBF1FA" w:themeFill="background1"/>
        </w:rPr>
      </w:pPr>
      <w:r>
        <w:rPr>
          <w:rFonts w:hint="eastAsia"/>
          <w:shd w:val="clear" w:color="auto" w:fill="EBF1FA" w:themeFill="background1"/>
        </w:rPr>
        <w:t>《混凝土和砂浆用再生细骨料》GB/T 25176</w:t>
      </w:r>
    </w:p>
    <w:p>
      <w:pPr>
        <w:pStyle w:val="31"/>
        <w:numPr>
          <w:ilvl w:val="4"/>
          <w:numId w:val="5"/>
        </w:numPr>
        <w:ind w:left="420" w:firstLine="0" w:firstLineChars="0"/>
        <w:rPr>
          <w:shd w:val="clear" w:color="auto" w:fill="EBF1FA" w:themeFill="background1"/>
        </w:rPr>
      </w:pPr>
      <w:r>
        <w:rPr>
          <w:rFonts w:hint="eastAsia"/>
          <w:shd w:val="clear" w:color="auto" w:fill="EBF1FA" w:themeFill="background1"/>
        </w:rPr>
        <w:t>《预拌砂浆》GB/T 25181</w:t>
      </w:r>
    </w:p>
    <w:p>
      <w:pPr>
        <w:pStyle w:val="31"/>
        <w:numPr>
          <w:ilvl w:val="4"/>
          <w:numId w:val="5"/>
        </w:numPr>
        <w:ind w:left="420" w:firstLine="0" w:firstLineChars="0"/>
        <w:rPr>
          <w:shd w:val="clear" w:color="auto" w:fill="EBF1FA" w:themeFill="background1"/>
        </w:rPr>
      </w:pPr>
      <w:r>
        <w:rPr>
          <w:rFonts w:hint="eastAsia"/>
          <w:shd w:val="clear" w:color="auto" w:fill="EBF1FA" w:themeFill="background1"/>
        </w:rPr>
        <w:t>《砌体结构设计规范》GB 50003</w:t>
      </w:r>
    </w:p>
    <w:p>
      <w:pPr>
        <w:pStyle w:val="31"/>
        <w:numPr>
          <w:ilvl w:val="4"/>
          <w:numId w:val="5"/>
        </w:numPr>
        <w:ind w:left="420" w:firstLine="0" w:firstLineChars="0"/>
        <w:rPr>
          <w:shd w:val="clear" w:color="auto" w:fill="EBF1FA" w:themeFill="background1"/>
        </w:rPr>
      </w:pPr>
      <w:r>
        <w:rPr>
          <w:rFonts w:hint="eastAsia"/>
          <w:shd w:val="clear" w:color="auto" w:fill="EBF1FA" w:themeFill="background1"/>
        </w:rPr>
        <w:t>《混凝土结构设计规范》GB 50010</w:t>
      </w:r>
    </w:p>
    <w:p>
      <w:pPr>
        <w:pStyle w:val="31"/>
        <w:numPr>
          <w:ilvl w:val="4"/>
          <w:numId w:val="5"/>
        </w:numPr>
        <w:ind w:left="420" w:firstLine="0" w:firstLineChars="0"/>
        <w:rPr>
          <w:shd w:val="clear" w:color="auto" w:fill="EBF1FA" w:themeFill="background1"/>
        </w:rPr>
      </w:pPr>
      <w:r>
        <w:rPr>
          <w:rFonts w:hint="eastAsia"/>
          <w:shd w:val="clear" w:color="auto" w:fill="EBF1FA" w:themeFill="background1"/>
        </w:rPr>
        <w:t>《普通混凝土拌合物性能试验方法》GB/T 50080</w:t>
      </w:r>
    </w:p>
    <w:p>
      <w:pPr>
        <w:pStyle w:val="31"/>
        <w:numPr>
          <w:ilvl w:val="4"/>
          <w:numId w:val="5"/>
        </w:numPr>
        <w:ind w:left="420" w:firstLine="0" w:firstLineChars="0"/>
        <w:rPr>
          <w:shd w:val="clear" w:color="auto" w:fill="EBF1FA" w:themeFill="background1"/>
        </w:rPr>
      </w:pPr>
      <w:r>
        <w:rPr>
          <w:rFonts w:hint="eastAsia"/>
          <w:shd w:val="clear" w:color="auto" w:fill="EBF1FA" w:themeFill="background1"/>
        </w:rPr>
        <w:t>《混凝土物理力学性能试验方法》GB/T 50081</w:t>
      </w:r>
    </w:p>
    <w:p>
      <w:pPr>
        <w:pStyle w:val="31"/>
        <w:numPr>
          <w:ilvl w:val="4"/>
          <w:numId w:val="5"/>
        </w:numPr>
        <w:ind w:left="420" w:firstLine="0" w:firstLineChars="0"/>
        <w:rPr>
          <w:shd w:val="clear" w:color="auto" w:fill="EBF1FA" w:themeFill="background1"/>
        </w:rPr>
      </w:pPr>
      <w:r>
        <w:rPr>
          <w:rFonts w:hint="eastAsia"/>
          <w:shd w:val="clear" w:color="auto" w:fill="EBF1FA" w:themeFill="background1"/>
        </w:rPr>
        <w:t>《普通混凝土长期性能和耐久性能试验方法》</w:t>
      </w:r>
      <w:r>
        <w:rPr>
          <w:shd w:val="clear" w:color="auto" w:fill="EBF1FA" w:themeFill="background1"/>
        </w:rPr>
        <w:t>GB/T 50082</w:t>
      </w:r>
    </w:p>
    <w:p>
      <w:pPr>
        <w:pStyle w:val="31"/>
        <w:numPr>
          <w:ilvl w:val="4"/>
          <w:numId w:val="5"/>
        </w:numPr>
        <w:ind w:left="420" w:firstLine="0" w:firstLineChars="0"/>
        <w:rPr>
          <w:shd w:val="clear" w:color="auto" w:fill="EBF1FA" w:themeFill="background1"/>
        </w:rPr>
      </w:pPr>
      <w:r>
        <w:rPr>
          <w:rFonts w:hint="eastAsia"/>
          <w:shd w:val="clear" w:color="auto" w:fill="EBF1FA" w:themeFill="background1"/>
        </w:rPr>
        <w:t>《混凝土外加剂应用技术规范》GB 50119</w:t>
      </w:r>
    </w:p>
    <w:p>
      <w:pPr>
        <w:pStyle w:val="31"/>
        <w:numPr>
          <w:ilvl w:val="4"/>
          <w:numId w:val="5"/>
        </w:numPr>
        <w:ind w:left="420" w:firstLine="0" w:firstLineChars="0"/>
        <w:rPr>
          <w:shd w:val="clear" w:color="auto" w:fill="EBF1FA" w:themeFill="background1"/>
        </w:rPr>
      </w:pPr>
      <w:r>
        <w:rPr>
          <w:rFonts w:hint="eastAsia"/>
          <w:shd w:val="clear" w:color="auto" w:fill="EBF1FA" w:themeFill="background1"/>
        </w:rPr>
        <w:t>《混凝土质量控制标准》GB 50164</w:t>
      </w:r>
    </w:p>
    <w:p>
      <w:pPr>
        <w:pStyle w:val="31"/>
        <w:numPr>
          <w:ilvl w:val="4"/>
          <w:numId w:val="5"/>
        </w:numPr>
        <w:ind w:left="420" w:firstLine="0" w:firstLineChars="0"/>
        <w:rPr>
          <w:shd w:val="clear" w:color="auto" w:fill="EBF1FA" w:themeFill="background1"/>
        </w:rPr>
      </w:pPr>
      <w:r>
        <w:rPr>
          <w:rFonts w:hint="eastAsia"/>
          <w:shd w:val="clear" w:color="auto" w:fill="EBF1FA" w:themeFill="background1"/>
        </w:rPr>
        <w:t>《混凝土结构工程施工质量验收规范》GB 50204</w:t>
      </w:r>
    </w:p>
    <w:p>
      <w:pPr>
        <w:pStyle w:val="31"/>
        <w:numPr>
          <w:ilvl w:val="4"/>
          <w:numId w:val="5"/>
        </w:numPr>
        <w:ind w:left="420" w:firstLine="0" w:firstLineChars="0"/>
        <w:rPr>
          <w:shd w:val="clear" w:color="auto" w:fill="EBF1FA" w:themeFill="background1"/>
        </w:rPr>
      </w:pPr>
      <w:r>
        <w:rPr>
          <w:shd w:val="clear" w:color="auto" w:fill="EBF1FA" w:themeFill="background1"/>
        </w:rPr>
        <w:t>《混凝土结构耐久性设计规范》GB/T 50476</w:t>
      </w:r>
    </w:p>
    <w:p>
      <w:pPr>
        <w:pStyle w:val="31"/>
        <w:numPr>
          <w:ilvl w:val="4"/>
          <w:numId w:val="5"/>
        </w:numPr>
        <w:ind w:left="420" w:firstLine="0" w:firstLineChars="0"/>
        <w:rPr>
          <w:shd w:val="clear" w:color="auto" w:fill="EBF1FA" w:themeFill="background1"/>
        </w:rPr>
      </w:pPr>
      <w:r>
        <w:rPr>
          <w:rFonts w:hint="eastAsia"/>
          <w:shd w:val="clear" w:color="auto" w:fill="EBF1FA" w:themeFill="background1"/>
        </w:rPr>
        <w:t>《混凝土结构工程施工规范》GB 50666</w:t>
      </w:r>
    </w:p>
    <w:p>
      <w:pPr>
        <w:pStyle w:val="31"/>
        <w:numPr>
          <w:ilvl w:val="4"/>
          <w:numId w:val="5"/>
        </w:numPr>
        <w:ind w:left="420" w:firstLine="0" w:firstLineChars="0"/>
        <w:rPr>
          <w:shd w:val="clear" w:color="auto" w:fill="EBF1FA" w:themeFill="background1"/>
        </w:rPr>
      </w:pPr>
      <w:r>
        <w:rPr>
          <w:rFonts w:hint="eastAsia"/>
          <w:shd w:val="clear" w:color="auto" w:fill="EBF1FA" w:themeFill="background1"/>
        </w:rPr>
        <w:t>《普通混凝土用砂、石质量及检验方法标准》JGJ 52</w:t>
      </w:r>
    </w:p>
    <w:p>
      <w:pPr>
        <w:pStyle w:val="31"/>
        <w:numPr>
          <w:ilvl w:val="4"/>
          <w:numId w:val="5"/>
        </w:numPr>
        <w:ind w:left="420" w:firstLine="0" w:firstLineChars="0"/>
        <w:rPr>
          <w:shd w:val="clear" w:color="auto" w:fill="EBF1FA" w:themeFill="background1"/>
        </w:rPr>
      </w:pPr>
      <w:r>
        <w:rPr>
          <w:shd w:val="clear" w:color="auto" w:fill="EBF1FA" w:themeFill="background1"/>
        </w:rPr>
        <w:t>《</w:t>
      </w:r>
      <w:r>
        <w:rPr>
          <w:rFonts w:hint="eastAsia"/>
          <w:shd w:val="clear" w:color="auto" w:fill="EBF1FA" w:themeFill="background1"/>
        </w:rPr>
        <w:t>普通混凝土配合比设计规程》JGJ 55</w:t>
      </w:r>
    </w:p>
    <w:p>
      <w:pPr>
        <w:pStyle w:val="31"/>
        <w:numPr>
          <w:ilvl w:val="4"/>
          <w:numId w:val="5"/>
        </w:numPr>
        <w:ind w:left="420" w:firstLine="0" w:firstLineChars="0"/>
        <w:rPr>
          <w:shd w:val="clear" w:color="auto" w:fill="EBF1FA" w:themeFill="background1"/>
        </w:rPr>
      </w:pPr>
      <w:r>
        <w:rPr>
          <w:rFonts w:hint="eastAsia"/>
          <w:shd w:val="clear" w:color="auto" w:fill="EBF1FA" w:themeFill="background1"/>
        </w:rPr>
        <w:t>《混凝土用水标准》JGJ 63</w:t>
      </w:r>
    </w:p>
    <w:p>
      <w:pPr>
        <w:pStyle w:val="31"/>
        <w:numPr>
          <w:ilvl w:val="4"/>
          <w:numId w:val="5"/>
        </w:numPr>
        <w:ind w:left="420" w:firstLine="0" w:firstLineChars="0"/>
        <w:rPr>
          <w:shd w:val="clear" w:color="auto" w:fill="EBF1FA" w:themeFill="background1"/>
        </w:rPr>
      </w:pPr>
      <w:r>
        <w:rPr>
          <w:rFonts w:hint="eastAsia"/>
          <w:shd w:val="clear" w:color="auto" w:fill="EBF1FA" w:themeFill="background1"/>
        </w:rPr>
        <w:t>《建筑砂浆基本性能试验方法标准》JGJ/T 70</w:t>
      </w:r>
    </w:p>
    <w:p>
      <w:pPr>
        <w:pStyle w:val="31"/>
        <w:numPr>
          <w:ilvl w:val="4"/>
          <w:numId w:val="5"/>
        </w:numPr>
        <w:ind w:left="420" w:firstLine="0" w:firstLineChars="0"/>
        <w:rPr>
          <w:shd w:val="clear" w:color="auto" w:fill="EBF1FA" w:themeFill="background1"/>
        </w:rPr>
      </w:pPr>
      <w:r>
        <w:rPr>
          <w:shd w:val="clear" w:color="auto" w:fill="EBF1FA" w:themeFill="background1"/>
        </w:rPr>
        <w:t>《砌筑砂浆配合比设计规程》JGJ/T 98</w:t>
      </w:r>
    </w:p>
    <w:p>
      <w:pPr>
        <w:pStyle w:val="31"/>
        <w:numPr>
          <w:ilvl w:val="4"/>
          <w:numId w:val="5"/>
        </w:numPr>
        <w:ind w:left="420" w:firstLine="0" w:firstLineChars="0"/>
        <w:rPr>
          <w:shd w:val="clear" w:color="auto" w:fill="EBF1FA" w:themeFill="background1"/>
        </w:rPr>
      </w:pPr>
      <w:r>
        <w:rPr>
          <w:rFonts w:hint="eastAsia"/>
          <w:shd w:val="clear" w:color="auto" w:fill="EBF1FA" w:themeFill="background1"/>
        </w:rPr>
        <w:t>《机械喷涂抹灰施工规程》JGJ/T 105</w:t>
      </w:r>
    </w:p>
    <w:p>
      <w:pPr>
        <w:pStyle w:val="31"/>
        <w:numPr>
          <w:ilvl w:val="4"/>
          <w:numId w:val="5"/>
        </w:numPr>
        <w:ind w:left="420" w:firstLine="0" w:firstLineChars="0"/>
        <w:rPr>
          <w:shd w:val="clear" w:color="auto" w:fill="EBF1FA" w:themeFill="background1"/>
        </w:rPr>
      </w:pPr>
      <w:r>
        <w:rPr>
          <w:rFonts w:hint="eastAsia"/>
          <w:shd w:val="clear" w:color="auto" w:fill="EBF1FA" w:themeFill="background1"/>
        </w:rPr>
        <w:t>《混凝土耐久性检验评定标准》JGJ/T 193</w:t>
      </w:r>
    </w:p>
    <w:p>
      <w:pPr>
        <w:pStyle w:val="31"/>
        <w:numPr>
          <w:ilvl w:val="4"/>
          <w:numId w:val="5"/>
        </w:numPr>
        <w:ind w:left="420" w:firstLine="0" w:firstLineChars="0"/>
        <w:rPr>
          <w:shd w:val="clear" w:color="auto" w:fill="EBF1FA" w:themeFill="background1"/>
        </w:rPr>
      </w:pPr>
      <w:r>
        <w:rPr>
          <w:rFonts w:hint="eastAsia"/>
          <w:shd w:val="clear" w:color="auto" w:fill="EBF1FA" w:themeFill="background1"/>
        </w:rPr>
        <w:t>《抹灰砂浆技术规程》JGJ/T 220</w:t>
      </w:r>
    </w:p>
    <w:p>
      <w:pPr>
        <w:pStyle w:val="31"/>
        <w:numPr>
          <w:ilvl w:val="4"/>
          <w:numId w:val="5"/>
        </w:numPr>
        <w:ind w:left="420" w:firstLine="0" w:firstLineChars="0"/>
        <w:rPr>
          <w:shd w:val="clear" w:color="auto" w:fill="EBF1FA" w:themeFill="background1"/>
        </w:rPr>
      </w:pPr>
      <w:r>
        <w:rPr>
          <w:rFonts w:hint="eastAsia"/>
          <w:shd w:val="clear" w:color="auto" w:fill="EBF1FA" w:themeFill="background1"/>
        </w:rPr>
        <w:t>《预拌砂浆应用技术规程》JGJ/T 223</w:t>
      </w:r>
    </w:p>
    <w:p>
      <w:pPr>
        <w:pStyle w:val="31"/>
        <w:numPr>
          <w:ilvl w:val="4"/>
          <w:numId w:val="5"/>
        </w:numPr>
        <w:ind w:left="420" w:firstLine="0" w:firstLineChars="0"/>
        <w:rPr>
          <w:shd w:val="clear" w:color="auto" w:fill="EBF1FA" w:themeFill="background1"/>
        </w:rPr>
      </w:pPr>
      <w:r>
        <w:rPr>
          <w:rFonts w:hint="eastAsia"/>
          <w:shd w:val="clear" w:color="auto" w:fill="EBF1FA" w:themeFill="background1"/>
        </w:rPr>
        <w:t>《再生骨料应用技术规程》JGJ/T 240</w:t>
      </w:r>
    </w:p>
    <w:p>
      <w:pPr>
        <w:pStyle w:val="31"/>
        <w:numPr>
          <w:ilvl w:val="4"/>
          <w:numId w:val="5"/>
        </w:numPr>
        <w:ind w:left="420" w:firstLine="0" w:firstLineChars="0"/>
        <w:rPr>
          <w:shd w:val="clear" w:color="auto" w:fill="EBF1FA" w:themeFill="background1"/>
        </w:rPr>
      </w:pPr>
      <w:r>
        <w:rPr>
          <w:rFonts w:hint="eastAsia"/>
          <w:shd w:val="clear" w:color="auto" w:fill="EBF1FA" w:themeFill="background1"/>
        </w:rPr>
        <w:t>《混凝土和砂浆用天然沸石粉》</w:t>
      </w:r>
      <w:r>
        <w:rPr>
          <w:shd w:val="clear" w:color="auto" w:fill="EBF1FA" w:themeFill="background1"/>
        </w:rPr>
        <w:t>JG/T 3048</w:t>
      </w:r>
    </w:p>
    <w:p>
      <w:pPr>
        <w:pStyle w:val="31"/>
        <w:numPr>
          <w:ilvl w:val="4"/>
          <w:numId w:val="5"/>
        </w:numPr>
        <w:ind w:left="420" w:firstLine="0" w:firstLineChars="0"/>
        <w:rPr>
          <w:shd w:val="clear" w:color="auto" w:fill="EBF1FA" w:themeFill="background1"/>
        </w:rPr>
      </w:pPr>
      <w:r>
        <w:rPr>
          <w:rFonts w:hint="eastAsia"/>
          <w:shd w:val="clear" w:color="auto" w:fill="EBF1FA" w:themeFill="background1"/>
        </w:rPr>
        <w:t>《福建省预拌砂浆生产与应用技术规程》DBJ/T 13-76</w:t>
      </w:r>
    </w:p>
    <w:p>
      <w:pPr>
        <w:pStyle w:val="31"/>
        <w:numPr>
          <w:ilvl w:val="4"/>
          <w:numId w:val="5"/>
        </w:numPr>
        <w:ind w:left="420" w:firstLine="0" w:firstLineChars="0"/>
        <w:rPr>
          <w:shd w:val="clear" w:color="auto" w:fill="EBF1FA" w:themeFill="background1"/>
        </w:rPr>
      </w:pPr>
      <w:r>
        <w:rPr>
          <w:rFonts w:hint="eastAsia"/>
          <w:shd w:val="clear" w:color="auto" w:fill="EBF1FA" w:themeFill="background1"/>
        </w:rPr>
        <w:t>《再生骨料混凝土应用技术规程》DBJ/T 13-276-2017</w:t>
      </w:r>
    </w:p>
    <w:p>
      <w:pPr>
        <w:pStyle w:val="31"/>
        <w:numPr>
          <w:ilvl w:val="4"/>
          <w:numId w:val="5"/>
        </w:numPr>
        <w:ind w:left="420" w:firstLine="0" w:firstLineChars="0"/>
        <w:rPr>
          <w:shd w:val="clear" w:color="auto" w:fill="EBF1FA" w:themeFill="background1"/>
        </w:rPr>
      </w:pPr>
      <w:r>
        <w:rPr>
          <w:rFonts w:hint="eastAsia" w:ascii="Times New Roman" w:hAnsi="Times New Roman" w:cs="Times New Roman"/>
          <w:kern w:val="0"/>
          <w:szCs w:val="21"/>
        </w:rPr>
        <w:t>《再生混凝土应用技术规程》</w:t>
      </w:r>
      <w:r>
        <w:rPr>
          <w:rFonts w:cs="Times New Roman" w:asciiTheme="minorEastAsia" w:hAnsiTheme="minorEastAsia" w:eastAsiaTheme="minorEastAsia"/>
          <w:kern w:val="0"/>
          <w:szCs w:val="21"/>
        </w:rPr>
        <w:t>DG</w:t>
      </w:r>
      <w:r>
        <w:rPr>
          <w:rFonts w:hint="eastAsia" w:cs="Times New Roman" w:asciiTheme="minorEastAsia" w:hAnsiTheme="minorEastAsia" w:eastAsiaTheme="minorEastAsia"/>
          <w:kern w:val="0"/>
          <w:szCs w:val="21"/>
        </w:rPr>
        <w:t>/</w:t>
      </w:r>
      <w:r>
        <w:rPr>
          <w:rFonts w:cs="Times New Roman" w:asciiTheme="minorEastAsia" w:hAnsiTheme="minorEastAsia" w:eastAsiaTheme="minorEastAsia"/>
          <w:kern w:val="0"/>
          <w:szCs w:val="21"/>
        </w:rPr>
        <w:t>TJ</w:t>
      </w:r>
      <w:r>
        <w:rPr>
          <w:rFonts w:hint="eastAsia" w:cs="Times New Roman" w:asciiTheme="minorEastAsia" w:hAnsiTheme="minorEastAsia" w:eastAsiaTheme="minorEastAsia"/>
          <w:kern w:val="0"/>
          <w:szCs w:val="21"/>
        </w:rPr>
        <w:t xml:space="preserve"> </w:t>
      </w:r>
      <w:r>
        <w:rPr>
          <w:rFonts w:cs="Times New Roman" w:asciiTheme="minorEastAsia" w:hAnsiTheme="minorEastAsia" w:eastAsiaTheme="minorEastAsia"/>
          <w:kern w:val="0"/>
          <w:szCs w:val="21"/>
        </w:rPr>
        <w:t>08-2018-2007</w:t>
      </w:r>
    </w:p>
    <w:p>
      <w:pPr>
        <w:pStyle w:val="31"/>
        <w:numPr>
          <w:ilvl w:val="4"/>
          <w:numId w:val="5"/>
        </w:numPr>
        <w:ind w:left="420" w:firstLine="0" w:firstLineChars="0"/>
        <w:rPr>
          <w:shd w:val="clear" w:color="auto" w:fill="EBF1FA" w:themeFill="background1"/>
        </w:rPr>
      </w:pPr>
      <w:r>
        <w:rPr>
          <w:rFonts w:hint="eastAsia"/>
          <w:shd w:val="clear" w:color="auto" w:fill="EBF1FA" w:themeFill="background1"/>
        </w:rPr>
        <w:t>《再生骨料混凝土耐久性控制技术规程》CECS 385:2014</w:t>
      </w:r>
    </w:p>
    <w:p>
      <w:pPr>
        <w:pStyle w:val="31"/>
        <w:widowControl/>
        <w:numPr>
          <w:ilvl w:val="0"/>
          <w:numId w:val="0"/>
        </w:numPr>
        <w:rPr>
          <w:rFonts w:ascii="黑体" w:hAnsi="黑体" w:eastAsia="黑体"/>
          <w:b/>
          <w:bCs/>
          <w:sz w:val="30"/>
          <w:szCs w:val="30"/>
        </w:rPr>
      </w:pPr>
    </w:p>
    <w:p>
      <w:pPr>
        <w:widowControl/>
        <w:jc w:val="left"/>
        <w:rPr>
          <w:rFonts w:ascii="黑体" w:hAnsi="黑体" w:eastAsia="黑体"/>
          <w:b/>
          <w:bCs/>
          <w:sz w:val="30"/>
          <w:szCs w:val="30"/>
        </w:rPr>
      </w:pPr>
      <w:r>
        <w:rPr>
          <w:rFonts w:ascii="黑体" w:hAnsi="黑体" w:eastAsia="黑体"/>
          <w:b/>
          <w:bCs/>
          <w:sz w:val="30"/>
          <w:szCs w:val="30"/>
        </w:rPr>
        <w:br w:type="page"/>
      </w:r>
    </w:p>
    <w:tbl>
      <w:tblPr>
        <w:tblStyle w:val="19"/>
        <w:tblW w:w="838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3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c>
          <w:tcPr>
            <w:tcW w:w="8381" w:type="dxa"/>
          </w:tcPr>
          <w:p>
            <w:pPr>
              <w:pStyle w:val="31"/>
              <w:widowControl/>
              <w:numPr>
                <w:ilvl w:val="0"/>
                <w:numId w:val="0"/>
              </w:numPr>
              <w:jc w:val="center"/>
              <w:rPr>
                <w:rFonts w:ascii="黑体" w:hAnsi="黑体" w:eastAsia="黑体"/>
                <w:bCs/>
                <w:sz w:val="40"/>
                <w:szCs w:val="40"/>
              </w:rPr>
            </w:pPr>
            <w:r>
              <w:rPr>
                <w:rFonts w:hint="eastAsia" w:ascii="黑体" w:hAnsi="黑体" w:eastAsia="黑体"/>
                <w:bCs/>
                <w:sz w:val="40"/>
                <w:szCs w:val="40"/>
              </w:rPr>
              <w:t>福建省工程建设地方标准</w:t>
            </w:r>
          </w:p>
          <w:p>
            <w:pPr>
              <w:pStyle w:val="31"/>
              <w:widowControl/>
              <w:numPr>
                <w:ilvl w:val="0"/>
                <w:numId w:val="0"/>
              </w:numPr>
              <w:jc w:val="center"/>
              <w:rPr>
                <w:rFonts w:ascii="黑体" w:hAnsi="黑体" w:eastAsia="黑体"/>
                <w:b/>
                <w:bCs/>
                <w:sz w:val="30"/>
                <w:szCs w:val="30"/>
              </w:rPr>
            </w:pPr>
          </w:p>
          <w:p>
            <w:pPr>
              <w:pStyle w:val="31"/>
              <w:widowControl/>
              <w:numPr>
                <w:ilvl w:val="0"/>
                <w:numId w:val="0"/>
              </w:numPr>
              <w:jc w:val="center"/>
              <w:rPr>
                <w:rFonts w:ascii="黑体" w:hAnsi="黑体" w:eastAsia="黑体"/>
                <w:b/>
                <w:bCs/>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12" w:hRule="atLeast"/>
        </w:trPr>
        <w:tc>
          <w:tcPr>
            <w:tcW w:w="8381" w:type="dxa"/>
          </w:tcPr>
          <w:p>
            <w:pPr>
              <w:pStyle w:val="31"/>
              <w:widowControl/>
              <w:numPr>
                <w:ilvl w:val="0"/>
                <w:numId w:val="0"/>
              </w:numPr>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玻璃和陶瓷再生细骨料应用技术规程</w:t>
            </w:r>
          </w:p>
          <w:p>
            <w:pPr>
              <w:pStyle w:val="31"/>
              <w:widowControl/>
              <w:numPr>
                <w:ilvl w:val="0"/>
                <w:numId w:val="0"/>
              </w:numPr>
              <w:jc w:val="center"/>
              <w:rPr>
                <w:rFonts w:asciiTheme="minorEastAsia" w:hAnsiTheme="minorEastAsia" w:eastAsiaTheme="minorEastAsia"/>
                <w:sz w:val="28"/>
                <w:szCs w:val="28"/>
              </w:rPr>
            </w:pPr>
            <w:r>
              <w:rPr>
                <w:rFonts w:asciiTheme="minorEastAsia" w:hAnsiTheme="minorEastAsia" w:eastAsiaTheme="minorEastAsia"/>
                <w:sz w:val="28"/>
                <w:szCs w:val="28"/>
              </w:rPr>
              <w:t>Technical specification for application of glass and ceramics recycled  fineaggregate</w:t>
            </w:r>
          </w:p>
          <w:p>
            <w:pPr>
              <w:pStyle w:val="31"/>
              <w:widowControl/>
              <w:numPr>
                <w:ilvl w:val="0"/>
                <w:numId w:val="0"/>
              </w:numPr>
              <w:jc w:val="center"/>
              <w:rPr>
                <w:rFonts w:asciiTheme="minorEastAsia" w:hAnsiTheme="minorEastAsia" w:eastAsiaTheme="minorEastAsia"/>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38" w:hRule="atLeast"/>
        </w:trPr>
        <w:tc>
          <w:tcPr>
            <w:tcW w:w="8381" w:type="dxa"/>
          </w:tcPr>
          <w:p>
            <w:pPr>
              <w:pStyle w:val="31"/>
              <w:widowControl/>
              <w:numPr>
                <w:ilvl w:val="0"/>
                <w:numId w:val="0"/>
              </w:numPr>
              <w:jc w:val="center"/>
              <w:rPr>
                <w:rFonts w:ascii="黑体" w:hAnsi="黑体" w:eastAsia="黑体"/>
                <w:bCs/>
                <w:sz w:val="30"/>
                <w:szCs w:val="30"/>
              </w:rPr>
            </w:pPr>
            <w:r>
              <w:rPr>
                <w:rFonts w:hint="eastAsia" w:ascii="黑体" w:hAnsi="黑体" w:eastAsia="黑体"/>
                <w:bCs/>
                <w:sz w:val="30"/>
                <w:szCs w:val="30"/>
              </w:rPr>
              <w:t>工程建设地方标准编号：D</w:t>
            </w:r>
            <w:r>
              <w:rPr>
                <w:rFonts w:ascii="黑体" w:hAnsi="黑体" w:eastAsia="黑体"/>
                <w:bCs/>
                <w:sz w:val="30"/>
                <w:szCs w:val="30"/>
              </w:rPr>
              <w:t>B/TXXX-20XX</w:t>
            </w:r>
          </w:p>
          <w:p>
            <w:pPr>
              <w:pStyle w:val="31"/>
              <w:widowControl/>
              <w:numPr>
                <w:ilvl w:val="0"/>
                <w:numId w:val="0"/>
              </w:numPr>
              <w:jc w:val="center"/>
              <w:rPr>
                <w:rFonts w:ascii="黑体" w:hAnsi="黑体" w:eastAsia="黑体"/>
                <w:bCs/>
                <w:sz w:val="30"/>
                <w:szCs w:val="30"/>
              </w:rPr>
            </w:pPr>
            <w:r>
              <w:rPr>
                <w:rFonts w:hint="eastAsia" w:ascii="黑体" w:hAnsi="黑体" w:eastAsia="黑体"/>
                <w:bCs/>
                <w:sz w:val="30"/>
                <w:szCs w:val="30"/>
              </w:rPr>
              <w:t>住房和城乡建设部备案编号：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381" w:type="dxa"/>
          </w:tcPr>
          <w:p>
            <w:pPr>
              <w:pStyle w:val="31"/>
              <w:widowControl/>
              <w:numPr>
                <w:ilvl w:val="0"/>
                <w:numId w:val="0"/>
              </w:numPr>
              <w:jc w:val="center"/>
              <w:rPr>
                <w:rFonts w:ascii="黑体" w:hAnsi="黑体" w:eastAsia="黑体"/>
                <w:bCs/>
                <w:sz w:val="32"/>
                <w:szCs w:val="32"/>
              </w:rPr>
            </w:pPr>
          </w:p>
          <w:p>
            <w:pPr>
              <w:pStyle w:val="31"/>
              <w:widowControl/>
              <w:numPr>
                <w:ilvl w:val="0"/>
                <w:numId w:val="0"/>
              </w:numPr>
              <w:jc w:val="center"/>
              <w:rPr>
                <w:rFonts w:ascii="黑体" w:hAnsi="黑体" w:eastAsia="黑体"/>
                <w:bCs/>
                <w:sz w:val="32"/>
                <w:szCs w:val="32"/>
              </w:rPr>
            </w:pPr>
          </w:p>
          <w:p>
            <w:pPr>
              <w:pStyle w:val="31"/>
              <w:widowControl/>
              <w:numPr>
                <w:ilvl w:val="0"/>
                <w:numId w:val="0"/>
              </w:numPr>
              <w:jc w:val="center"/>
              <w:rPr>
                <w:rFonts w:ascii="黑体" w:hAnsi="黑体" w:eastAsia="黑体"/>
                <w:bCs/>
                <w:sz w:val="32"/>
                <w:szCs w:val="32"/>
              </w:rPr>
            </w:pPr>
            <w:r>
              <w:rPr>
                <w:rFonts w:hint="eastAsia" w:ascii="黑体" w:hAnsi="黑体" w:eastAsia="黑体"/>
                <w:bCs/>
                <w:sz w:val="32"/>
                <w:szCs w:val="32"/>
              </w:rPr>
              <w:t>条文说明</w:t>
            </w:r>
          </w:p>
        </w:tc>
      </w:tr>
    </w:tbl>
    <w:p>
      <w:pPr>
        <w:pStyle w:val="31"/>
        <w:widowControl/>
        <w:numPr>
          <w:ilvl w:val="0"/>
          <w:numId w:val="0"/>
        </w:numPr>
        <w:jc w:val="center"/>
        <w:rPr>
          <w:rFonts w:ascii="黑体" w:hAnsi="黑体" w:eastAsia="黑体"/>
          <w:b/>
          <w:bCs/>
          <w:sz w:val="30"/>
          <w:szCs w:val="30"/>
        </w:rPr>
      </w:pPr>
    </w:p>
    <w:p>
      <w:pPr>
        <w:widowControl/>
        <w:jc w:val="left"/>
        <w:rPr>
          <w:rFonts w:ascii="黑体" w:hAnsi="黑体" w:eastAsia="黑体"/>
          <w:b/>
          <w:bCs/>
          <w:sz w:val="30"/>
          <w:szCs w:val="30"/>
        </w:rPr>
      </w:pPr>
      <w:r>
        <w:rPr>
          <w:rFonts w:ascii="黑体" w:hAnsi="黑体" w:eastAsia="黑体"/>
          <w:b/>
          <w:bCs/>
          <w:sz w:val="30"/>
          <w:szCs w:val="30"/>
        </w:rPr>
        <w:br w:type="page"/>
      </w:r>
    </w:p>
    <w:p>
      <w:pPr>
        <w:pStyle w:val="35"/>
        <w:ind w:firstLine="602"/>
        <w:jc w:val="center"/>
        <w:rPr>
          <w:b/>
          <w:bCs/>
          <w:sz w:val="30"/>
          <w:szCs w:val="30"/>
        </w:rPr>
      </w:pPr>
      <w:r>
        <w:rPr>
          <w:rFonts w:hint="eastAsia"/>
          <w:b/>
          <w:bCs/>
          <w:sz w:val="30"/>
          <w:szCs w:val="30"/>
        </w:rPr>
        <w:t>制订说明</w:t>
      </w:r>
    </w:p>
    <w:p>
      <w:pPr>
        <w:pStyle w:val="35"/>
        <w:ind w:firstLine="602"/>
        <w:jc w:val="center"/>
        <w:rPr>
          <w:b/>
          <w:bCs/>
          <w:sz w:val="30"/>
          <w:szCs w:val="30"/>
        </w:rPr>
      </w:pPr>
    </w:p>
    <w:p>
      <w:pPr>
        <w:pStyle w:val="35"/>
        <w:spacing w:line="360" w:lineRule="auto"/>
      </w:pPr>
      <w:r>
        <w:rPr>
          <w:rFonts w:hint="eastAsia"/>
        </w:rPr>
        <w:t>《玻璃和陶瓷再生细骨料应用技术规程》</w:t>
      </w:r>
      <w:r>
        <w:t>(DB/T XX-20XX)，经福建省住房和城</w:t>
      </w:r>
      <w:r>
        <w:rPr>
          <w:rFonts w:hint="eastAsia"/>
        </w:rPr>
        <w:t>乡建设厅</w:t>
      </w:r>
      <w:r>
        <w:t>20XX年X月XX日以第XX号公告批准、发布。</w:t>
      </w:r>
    </w:p>
    <w:p>
      <w:pPr>
        <w:pStyle w:val="35"/>
        <w:spacing w:line="360" w:lineRule="auto"/>
      </w:pPr>
      <w:r>
        <w:rPr>
          <w:rFonts w:hint="eastAsia"/>
        </w:rPr>
        <w:t>本标准制定过程中，编制组进行了广泛而深入的调查研究，总结了我国工程建设中玻璃/陶瓷再生细骨料应用的实践经验，同时参考了国外先进技术法规、技术标准，通过实验室和工程现场试验取得了玻璃/陶瓷再生细骨料应用的重要技术参数。</w:t>
      </w:r>
    </w:p>
    <w:p>
      <w:pPr>
        <w:pStyle w:val="35"/>
        <w:spacing w:line="360" w:lineRule="auto"/>
      </w:pPr>
      <w:r>
        <w:rPr>
          <w:rFonts w:hint="eastAsia"/>
        </w:rPr>
        <w:t>为便于广大设计、施工、科研、学校等单位有关人员在使用本规程时能正确理解和执行条文规定，《玻璃和陶瓷再生细骨料应用技术规程》编制组按章、节、条顺序编制了本规程的条文说明，对条文规定的目的、依据以及执行中需注意的有关事项进行了说明。但是，本条文说明不具备与规程正文同等的法律效力，仅供使用者作为理解和把握规程规定的参考。</w:t>
      </w:r>
    </w:p>
    <w:p>
      <w:pPr>
        <w:widowControl/>
        <w:jc w:val="left"/>
      </w:pPr>
      <w:r>
        <w:br w:type="page"/>
      </w:r>
    </w:p>
    <w:p>
      <w:pPr>
        <w:spacing w:line="480" w:lineRule="auto"/>
        <w:jc w:val="center"/>
        <w:rPr>
          <w:rFonts w:ascii="黑体" w:hAnsi="黑体" w:eastAsia="黑体" w:cs="宋体"/>
          <w:b/>
          <w:bCs/>
          <w:spacing w:val="-1"/>
          <w:sz w:val="40"/>
          <w:szCs w:val="36"/>
        </w:rPr>
      </w:pPr>
      <w:r>
        <w:rPr>
          <w:rFonts w:hint="eastAsia" w:ascii="黑体" w:hAnsi="黑体" w:eastAsia="黑体" w:cs="宋体"/>
          <w:b/>
          <w:bCs/>
          <w:spacing w:val="-1"/>
          <w:sz w:val="40"/>
          <w:szCs w:val="36"/>
        </w:rPr>
        <w:t>目 次</w:t>
      </w:r>
    </w:p>
    <w:p>
      <w:pPr>
        <w:spacing w:line="360" w:lineRule="auto"/>
        <w:jc w:val="center"/>
        <w:rPr>
          <w:rFonts w:ascii="黑体" w:hAnsi="黑体" w:eastAsia="黑体" w:cs="宋体"/>
          <w:b/>
          <w:bCs/>
          <w:spacing w:val="-1"/>
          <w:sz w:val="40"/>
          <w:szCs w:val="36"/>
        </w:rPr>
      </w:pPr>
    </w:p>
    <w:p>
      <w:pPr>
        <w:pStyle w:val="13"/>
        <w:spacing w:line="360" w:lineRule="auto"/>
        <w:rPr>
          <w:rFonts w:asciiTheme="minorHAnsi" w:hAnsiTheme="minorHAnsi" w:eastAsiaTheme="minorEastAsia"/>
          <w:bCs/>
        </w:rPr>
      </w:pPr>
      <w:r>
        <w:rPr>
          <w:rFonts w:hint="eastAsia" w:ascii="黑体" w:hAnsi="黑体" w:eastAsia="黑体" w:cs="黑体"/>
          <w:spacing w:val="-1"/>
          <w:sz w:val="24"/>
          <w:szCs w:val="24"/>
        </w:rPr>
        <w:fldChar w:fldCharType="begin"/>
      </w:r>
      <w:r>
        <w:rPr>
          <w:rFonts w:hint="eastAsia" w:ascii="黑体" w:hAnsi="黑体" w:eastAsia="黑体" w:cs="黑体"/>
          <w:spacing w:val="-1"/>
          <w:sz w:val="24"/>
          <w:szCs w:val="24"/>
        </w:rPr>
        <w:instrText xml:space="preserve">TOC \o "1-2" \h \u </w:instrText>
      </w:r>
      <w:r>
        <w:rPr>
          <w:rFonts w:hint="eastAsia" w:ascii="黑体" w:hAnsi="黑体" w:eastAsia="黑体" w:cs="黑体"/>
          <w:spacing w:val="-1"/>
          <w:sz w:val="24"/>
          <w:szCs w:val="24"/>
        </w:rPr>
        <w:fldChar w:fldCharType="separate"/>
      </w:r>
      <w:r>
        <w:fldChar w:fldCharType="begin"/>
      </w:r>
      <w:r>
        <w:instrText xml:space="preserve"> HYPERLINK \l "_Toc29547156" </w:instrText>
      </w:r>
      <w:r>
        <w:fldChar w:fldCharType="separate"/>
      </w:r>
      <w:r>
        <w:rPr>
          <w:rStyle w:val="22"/>
          <w:rFonts w:cs="Times New Roman"/>
          <w:bCs/>
          <w:color w:val="auto"/>
        </w:rPr>
        <w:t>1</w:t>
      </w:r>
      <w:r>
        <w:rPr>
          <w:rStyle w:val="22"/>
          <w:bCs/>
          <w:color w:val="auto"/>
        </w:rPr>
        <w:t xml:space="preserve"> 总  则</w:t>
      </w:r>
      <w:r>
        <w:rPr>
          <w:bCs/>
        </w:rPr>
        <w:tab/>
      </w:r>
      <w:r>
        <w:rPr>
          <w:bCs/>
        </w:rPr>
        <w:fldChar w:fldCharType="begin"/>
      </w:r>
      <w:r>
        <w:rPr>
          <w:bCs/>
        </w:rPr>
        <w:instrText xml:space="preserve"> PAGEREF _Toc29547156 \h </w:instrText>
      </w:r>
      <w:r>
        <w:rPr>
          <w:bCs/>
        </w:rPr>
        <w:fldChar w:fldCharType="separate"/>
      </w:r>
      <w:r>
        <w:rPr>
          <w:bCs/>
        </w:rPr>
        <w:t>1</w:t>
      </w:r>
      <w:r>
        <w:rPr>
          <w:bCs/>
        </w:rPr>
        <w:fldChar w:fldCharType="end"/>
      </w:r>
      <w:r>
        <w:rPr>
          <w:bCs/>
        </w:rPr>
        <w:fldChar w:fldCharType="end"/>
      </w:r>
      <w:r>
        <w:rPr>
          <w:bCs/>
        </w:rPr>
        <w:t>8</w:t>
      </w:r>
    </w:p>
    <w:p>
      <w:pPr>
        <w:pStyle w:val="13"/>
        <w:spacing w:line="360" w:lineRule="auto"/>
        <w:rPr>
          <w:rFonts w:asciiTheme="minorHAnsi" w:hAnsiTheme="minorHAnsi" w:eastAsiaTheme="minorEastAsia"/>
          <w:bCs/>
        </w:rPr>
      </w:pPr>
      <w:r>
        <w:fldChar w:fldCharType="begin"/>
      </w:r>
      <w:r>
        <w:instrText xml:space="preserve"> HYPERLINK \l "_Toc29547157" </w:instrText>
      </w:r>
      <w:r>
        <w:fldChar w:fldCharType="separate"/>
      </w:r>
      <w:r>
        <w:rPr>
          <w:rStyle w:val="22"/>
          <w:rFonts w:cs="Times New Roman"/>
          <w:bCs/>
          <w:color w:val="auto"/>
        </w:rPr>
        <w:t>2</w:t>
      </w:r>
      <w:r>
        <w:rPr>
          <w:rStyle w:val="22"/>
          <w:bCs/>
          <w:color w:val="auto"/>
        </w:rPr>
        <w:t xml:space="preserve"> 术语和符号</w:t>
      </w:r>
      <w:r>
        <w:rPr>
          <w:bCs/>
        </w:rPr>
        <w:tab/>
      </w:r>
      <w:r>
        <w:rPr>
          <w:bCs/>
        </w:rPr>
        <w:t>19</w:t>
      </w:r>
      <w:r>
        <w:rPr>
          <w:bCs/>
        </w:rPr>
        <w:fldChar w:fldCharType="end"/>
      </w:r>
    </w:p>
    <w:p>
      <w:pPr>
        <w:pStyle w:val="14"/>
        <w:spacing w:line="360" w:lineRule="auto"/>
        <w:rPr>
          <w:rFonts w:asciiTheme="minorHAnsi" w:hAnsiTheme="minorHAnsi" w:eastAsiaTheme="minorEastAsia"/>
          <w:bCs/>
        </w:rPr>
      </w:pPr>
      <w:r>
        <w:fldChar w:fldCharType="begin"/>
      </w:r>
      <w:r>
        <w:instrText xml:space="preserve"> HYPERLINK \l "_Toc29547159" </w:instrText>
      </w:r>
      <w:r>
        <w:fldChar w:fldCharType="separate"/>
      </w:r>
      <w:r>
        <w:rPr>
          <w:rStyle w:val="22"/>
          <w:rFonts w:cs="Times New Roman"/>
          <w:bCs/>
          <w:color w:val="auto"/>
        </w:rPr>
        <w:t>2.1</w:t>
      </w:r>
      <w:r>
        <w:rPr>
          <w:rStyle w:val="22"/>
          <w:bCs/>
          <w:color w:val="auto"/>
        </w:rPr>
        <w:t xml:space="preserve"> 术语</w:t>
      </w:r>
      <w:r>
        <w:rPr>
          <w:bCs/>
        </w:rPr>
        <w:tab/>
      </w:r>
      <w:r>
        <w:rPr>
          <w:bCs/>
        </w:rPr>
        <w:t>19</w:t>
      </w:r>
      <w:r>
        <w:rPr>
          <w:bCs/>
        </w:rPr>
        <w:fldChar w:fldCharType="end"/>
      </w:r>
    </w:p>
    <w:p>
      <w:pPr>
        <w:pStyle w:val="13"/>
        <w:spacing w:line="360" w:lineRule="auto"/>
        <w:rPr>
          <w:rFonts w:asciiTheme="minorHAnsi" w:hAnsiTheme="minorHAnsi" w:eastAsiaTheme="minorEastAsia"/>
          <w:bCs/>
        </w:rPr>
      </w:pPr>
      <w:r>
        <w:fldChar w:fldCharType="begin"/>
      </w:r>
      <w:r>
        <w:instrText xml:space="preserve"> HYPERLINK \l "_Toc29547161" </w:instrText>
      </w:r>
      <w:r>
        <w:fldChar w:fldCharType="separate"/>
      </w:r>
      <w:r>
        <w:rPr>
          <w:rStyle w:val="22"/>
          <w:rFonts w:cs="Times New Roman"/>
          <w:bCs/>
          <w:color w:val="auto"/>
        </w:rPr>
        <w:t>3</w:t>
      </w:r>
      <w:r>
        <w:rPr>
          <w:rStyle w:val="22"/>
          <w:bCs/>
          <w:color w:val="auto"/>
        </w:rPr>
        <w:t xml:space="preserve"> 基本规定</w:t>
      </w:r>
      <w:r>
        <w:rPr>
          <w:bCs/>
        </w:rPr>
        <w:tab/>
      </w:r>
      <w:r>
        <w:rPr>
          <w:bCs/>
        </w:rPr>
        <w:t>20</w:t>
      </w:r>
      <w:r>
        <w:rPr>
          <w:bCs/>
        </w:rPr>
        <w:fldChar w:fldCharType="end"/>
      </w:r>
    </w:p>
    <w:p>
      <w:pPr>
        <w:pStyle w:val="13"/>
        <w:spacing w:line="360" w:lineRule="auto"/>
        <w:rPr>
          <w:rFonts w:asciiTheme="minorHAnsi" w:hAnsiTheme="minorHAnsi" w:eastAsiaTheme="minorEastAsia"/>
          <w:bCs/>
        </w:rPr>
      </w:pPr>
      <w:r>
        <w:fldChar w:fldCharType="begin"/>
      </w:r>
      <w:r>
        <w:instrText xml:space="preserve"> HYPERLINK \l "_Toc29547162" </w:instrText>
      </w:r>
      <w:r>
        <w:fldChar w:fldCharType="separate"/>
      </w:r>
      <w:r>
        <w:rPr>
          <w:rStyle w:val="22"/>
          <w:rFonts w:cs="Times New Roman"/>
          <w:bCs/>
          <w:color w:val="auto"/>
        </w:rPr>
        <w:t>4</w:t>
      </w:r>
      <w:r>
        <w:rPr>
          <w:rStyle w:val="22"/>
          <w:bCs/>
          <w:color w:val="auto"/>
        </w:rPr>
        <w:t xml:space="preserve"> 玻璃/陶瓷再生细骨料</w:t>
      </w:r>
      <w:r>
        <w:rPr>
          <w:bCs/>
        </w:rPr>
        <w:tab/>
      </w:r>
      <w:r>
        <w:rPr>
          <w:bCs/>
        </w:rPr>
        <w:t>21</w:t>
      </w:r>
      <w:r>
        <w:rPr>
          <w:bCs/>
        </w:rPr>
        <w:fldChar w:fldCharType="end"/>
      </w:r>
    </w:p>
    <w:p>
      <w:pPr>
        <w:pStyle w:val="14"/>
        <w:spacing w:line="360" w:lineRule="auto"/>
        <w:rPr>
          <w:rFonts w:asciiTheme="minorHAnsi" w:hAnsiTheme="minorHAnsi" w:eastAsiaTheme="minorEastAsia"/>
          <w:bCs/>
        </w:rPr>
      </w:pPr>
      <w:r>
        <w:fldChar w:fldCharType="begin"/>
      </w:r>
      <w:r>
        <w:instrText xml:space="preserve"> HYPERLINK \l "_Toc29547164" </w:instrText>
      </w:r>
      <w:r>
        <w:fldChar w:fldCharType="separate"/>
      </w:r>
      <w:r>
        <w:rPr>
          <w:rStyle w:val="22"/>
          <w:rFonts w:cs="Times New Roman"/>
          <w:bCs/>
          <w:color w:val="auto"/>
        </w:rPr>
        <w:t>4.1</w:t>
      </w:r>
      <w:r>
        <w:rPr>
          <w:rStyle w:val="22"/>
          <w:bCs/>
          <w:color w:val="auto"/>
        </w:rPr>
        <w:t xml:space="preserve"> 技术要求</w:t>
      </w:r>
      <w:r>
        <w:rPr>
          <w:bCs/>
        </w:rPr>
        <w:tab/>
      </w:r>
      <w:r>
        <w:rPr>
          <w:bCs/>
        </w:rPr>
        <w:t>21</w:t>
      </w:r>
      <w:r>
        <w:rPr>
          <w:bCs/>
        </w:rPr>
        <w:fldChar w:fldCharType="end"/>
      </w:r>
    </w:p>
    <w:p>
      <w:pPr>
        <w:pStyle w:val="14"/>
        <w:spacing w:line="360" w:lineRule="auto"/>
        <w:rPr>
          <w:rFonts w:asciiTheme="minorHAnsi" w:hAnsiTheme="minorHAnsi" w:eastAsiaTheme="minorEastAsia"/>
          <w:bCs/>
        </w:rPr>
      </w:pPr>
      <w:r>
        <w:fldChar w:fldCharType="begin"/>
      </w:r>
      <w:r>
        <w:instrText xml:space="preserve"> HYPERLINK \l "_Toc29547165" </w:instrText>
      </w:r>
      <w:r>
        <w:fldChar w:fldCharType="separate"/>
      </w:r>
      <w:r>
        <w:rPr>
          <w:rStyle w:val="22"/>
          <w:rFonts w:cs="Times New Roman"/>
          <w:bCs/>
          <w:color w:val="auto"/>
        </w:rPr>
        <w:t>4.2</w:t>
      </w:r>
      <w:r>
        <w:rPr>
          <w:rStyle w:val="22"/>
          <w:bCs/>
          <w:color w:val="auto"/>
        </w:rPr>
        <w:t xml:space="preserve"> 进场检验</w:t>
      </w:r>
      <w:r>
        <w:rPr>
          <w:bCs/>
        </w:rPr>
        <w:tab/>
      </w:r>
      <w:r>
        <w:rPr>
          <w:bCs/>
        </w:rPr>
        <w:t>22</w:t>
      </w:r>
      <w:r>
        <w:rPr>
          <w:bCs/>
        </w:rPr>
        <w:fldChar w:fldCharType="end"/>
      </w:r>
    </w:p>
    <w:p>
      <w:pPr>
        <w:pStyle w:val="14"/>
        <w:spacing w:line="360" w:lineRule="auto"/>
        <w:rPr>
          <w:rFonts w:asciiTheme="minorHAnsi" w:hAnsiTheme="minorHAnsi" w:eastAsiaTheme="minorEastAsia"/>
          <w:bCs/>
        </w:rPr>
      </w:pPr>
      <w:r>
        <w:fldChar w:fldCharType="begin"/>
      </w:r>
      <w:r>
        <w:instrText xml:space="preserve"> HYPERLINK \l "_Toc29547166" </w:instrText>
      </w:r>
      <w:r>
        <w:fldChar w:fldCharType="separate"/>
      </w:r>
      <w:r>
        <w:rPr>
          <w:rStyle w:val="22"/>
          <w:rFonts w:cs="Times New Roman"/>
          <w:bCs/>
          <w:color w:val="auto"/>
        </w:rPr>
        <w:t>4.3</w:t>
      </w:r>
      <w:r>
        <w:rPr>
          <w:rStyle w:val="22"/>
          <w:bCs/>
          <w:color w:val="auto"/>
        </w:rPr>
        <w:t xml:space="preserve"> 运输和储存</w:t>
      </w:r>
      <w:r>
        <w:rPr>
          <w:bCs/>
        </w:rPr>
        <w:tab/>
      </w:r>
      <w:r>
        <w:rPr>
          <w:bCs/>
        </w:rPr>
        <w:t>22</w:t>
      </w:r>
      <w:r>
        <w:rPr>
          <w:bCs/>
        </w:rPr>
        <w:fldChar w:fldCharType="end"/>
      </w:r>
    </w:p>
    <w:p>
      <w:pPr>
        <w:pStyle w:val="13"/>
        <w:spacing w:line="360" w:lineRule="auto"/>
        <w:rPr>
          <w:rFonts w:asciiTheme="minorHAnsi" w:hAnsiTheme="minorHAnsi" w:eastAsiaTheme="minorEastAsia"/>
          <w:bCs/>
        </w:rPr>
      </w:pPr>
      <w:r>
        <w:fldChar w:fldCharType="begin"/>
      </w:r>
      <w:r>
        <w:instrText xml:space="preserve"> HYPERLINK \l "_Toc29547167" </w:instrText>
      </w:r>
      <w:r>
        <w:fldChar w:fldCharType="separate"/>
      </w:r>
      <w:r>
        <w:rPr>
          <w:rStyle w:val="22"/>
          <w:rFonts w:cs="Times New Roman"/>
          <w:bCs/>
          <w:color w:val="auto"/>
        </w:rPr>
        <w:t>5</w:t>
      </w:r>
      <w:r>
        <w:rPr>
          <w:rStyle w:val="22"/>
          <w:bCs/>
          <w:color w:val="auto"/>
        </w:rPr>
        <w:t xml:space="preserve"> 玻璃/陶瓷再生细骨料混凝土</w:t>
      </w:r>
      <w:r>
        <w:rPr>
          <w:bCs/>
        </w:rPr>
        <w:tab/>
      </w:r>
      <w:r>
        <w:rPr>
          <w:bCs/>
        </w:rPr>
        <w:t>23</w:t>
      </w:r>
      <w:r>
        <w:rPr>
          <w:bCs/>
        </w:rPr>
        <w:fldChar w:fldCharType="end"/>
      </w:r>
    </w:p>
    <w:p>
      <w:pPr>
        <w:pStyle w:val="14"/>
        <w:spacing w:line="360" w:lineRule="auto"/>
        <w:rPr>
          <w:rFonts w:asciiTheme="minorHAnsi" w:hAnsiTheme="minorHAnsi" w:eastAsiaTheme="minorEastAsia"/>
          <w:bCs/>
        </w:rPr>
      </w:pPr>
      <w:r>
        <w:fldChar w:fldCharType="begin"/>
      </w:r>
      <w:r>
        <w:instrText xml:space="preserve"> HYPERLINK \l "_Toc29547169" </w:instrText>
      </w:r>
      <w:r>
        <w:fldChar w:fldCharType="separate"/>
      </w:r>
      <w:r>
        <w:rPr>
          <w:rStyle w:val="22"/>
          <w:rFonts w:cs="Times New Roman"/>
          <w:bCs/>
          <w:color w:val="auto"/>
        </w:rPr>
        <w:t>5.1</w:t>
      </w:r>
      <w:r>
        <w:rPr>
          <w:rStyle w:val="22"/>
          <w:bCs/>
          <w:color w:val="auto"/>
        </w:rPr>
        <w:t xml:space="preserve"> 一般规定</w:t>
      </w:r>
      <w:r>
        <w:rPr>
          <w:bCs/>
        </w:rPr>
        <w:tab/>
      </w:r>
      <w:r>
        <w:rPr>
          <w:bCs/>
        </w:rPr>
        <w:t>23</w:t>
      </w:r>
      <w:r>
        <w:rPr>
          <w:bCs/>
        </w:rPr>
        <w:fldChar w:fldCharType="end"/>
      </w:r>
    </w:p>
    <w:p>
      <w:pPr>
        <w:pStyle w:val="14"/>
        <w:spacing w:line="360" w:lineRule="auto"/>
        <w:rPr>
          <w:rFonts w:asciiTheme="minorHAnsi" w:hAnsiTheme="minorHAnsi" w:eastAsiaTheme="minorEastAsia"/>
          <w:bCs/>
        </w:rPr>
      </w:pPr>
      <w:r>
        <w:fldChar w:fldCharType="begin"/>
      </w:r>
      <w:r>
        <w:instrText xml:space="preserve"> HYPERLINK \l "_Toc29547170" </w:instrText>
      </w:r>
      <w:r>
        <w:fldChar w:fldCharType="separate"/>
      </w:r>
      <w:r>
        <w:rPr>
          <w:rStyle w:val="22"/>
          <w:rFonts w:cs="Times New Roman"/>
          <w:bCs/>
          <w:color w:val="auto"/>
        </w:rPr>
        <w:t>5.2</w:t>
      </w:r>
      <w:r>
        <w:rPr>
          <w:rStyle w:val="22"/>
          <w:bCs/>
          <w:color w:val="auto"/>
        </w:rPr>
        <w:t xml:space="preserve"> 原材料</w:t>
      </w:r>
      <w:r>
        <w:rPr>
          <w:bCs/>
        </w:rPr>
        <w:tab/>
      </w:r>
      <w:r>
        <w:rPr>
          <w:bCs/>
        </w:rPr>
        <w:t>25</w:t>
      </w:r>
      <w:r>
        <w:rPr>
          <w:bCs/>
        </w:rPr>
        <w:fldChar w:fldCharType="end"/>
      </w:r>
    </w:p>
    <w:p>
      <w:pPr>
        <w:pStyle w:val="14"/>
        <w:spacing w:line="360" w:lineRule="auto"/>
        <w:rPr>
          <w:rFonts w:asciiTheme="minorHAnsi" w:hAnsiTheme="minorHAnsi" w:eastAsiaTheme="minorEastAsia"/>
          <w:bCs/>
        </w:rPr>
      </w:pPr>
      <w:r>
        <w:fldChar w:fldCharType="begin"/>
      </w:r>
      <w:r>
        <w:instrText xml:space="preserve"> HYPERLINK \l "_Toc29547171" </w:instrText>
      </w:r>
      <w:r>
        <w:fldChar w:fldCharType="separate"/>
      </w:r>
      <w:r>
        <w:rPr>
          <w:rStyle w:val="22"/>
          <w:rFonts w:cs="Times New Roman"/>
          <w:bCs/>
          <w:color w:val="auto"/>
        </w:rPr>
        <w:t>5.3</w:t>
      </w:r>
      <w:r>
        <w:rPr>
          <w:rStyle w:val="22"/>
          <w:bCs/>
          <w:color w:val="auto"/>
        </w:rPr>
        <w:t xml:space="preserve"> 配合比设计</w:t>
      </w:r>
      <w:r>
        <w:rPr>
          <w:bCs/>
        </w:rPr>
        <w:tab/>
      </w:r>
      <w:r>
        <w:rPr>
          <w:bCs/>
        </w:rPr>
        <w:t>25</w:t>
      </w:r>
      <w:r>
        <w:rPr>
          <w:bCs/>
        </w:rPr>
        <w:fldChar w:fldCharType="end"/>
      </w:r>
    </w:p>
    <w:p>
      <w:pPr>
        <w:pStyle w:val="14"/>
        <w:spacing w:line="360" w:lineRule="auto"/>
        <w:rPr>
          <w:rFonts w:asciiTheme="minorHAnsi" w:hAnsiTheme="minorHAnsi" w:eastAsiaTheme="minorEastAsia"/>
          <w:bCs/>
        </w:rPr>
      </w:pPr>
      <w:r>
        <w:fldChar w:fldCharType="begin"/>
      </w:r>
      <w:r>
        <w:instrText xml:space="preserve"> HYPERLINK \l "_Toc29547172" </w:instrText>
      </w:r>
      <w:r>
        <w:fldChar w:fldCharType="separate"/>
      </w:r>
      <w:r>
        <w:rPr>
          <w:rStyle w:val="22"/>
          <w:rFonts w:cs="Times New Roman"/>
          <w:bCs/>
          <w:color w:val="auto"/>
        </w:rPr>
        <w:t>5.4</w:t>
      </w:r>
      <w:r>
        <w:rPr>
          <w:rStyle w:val="22"/>
          <w:bCs/>
          <w:color w:val="auto"/>
        </w:rPr>
        <w:t xml:space="preserve"> 制备和运输</w:t>
      </w:r>
      <w:r>
        <w:rPr>
          <w:bCs/>
        </w:rPr>
        <w:tab/>
      </w:r>
      <w:r>
        <w:rPr>
          <w:bCs/>
        </w:rPr>
        <w:t>26</w:t>
      </w:r>
      <w:r>
        <w:rPr>
          <w:bCs/>
        </w:rPr>
        <w:fldChar w:fldCharType="end"/>
      </w:r>
    </w:p>
    <w:p>
      <w:pPr>
        <w:pStyle w:val="14"/>
        <w:spacing w:line="360" w:lineRule="auto"/>
        <w:rPr>
          <w:rFonts w:asciiTheme="minorHAnsi" w:hAnsiTheme="minorHAnsi" w:eastAsiaTheme="minorEastAsia"/>
          <w:bCs/>
        </w:rPr>
      </w:pPr>
      <w:r>
        <w:fldChar w:fldCharType="begin"/>
      </w:r>
      <w:r>
        <w:instrText xml:space="preserve"> HYPERLINK \l "_Toc29547173" </w:instrText>
      </w:r>
      <w:r>
        <w:fldChar w:fldCharType="separate"/>
      </w:r>
      <w:r>
        <w:rPr>
          <w:rStyle w:val="22"/>
          <w:rFonts w:cs="Times New Roman"/>
          <w:bCs/>
          <w:color w:val="auto"/>
        </w:rPr>
        <w:t>5.5</w:t>
      </w:r>
      <w:r>
        <w:rPr>
          <w:rStyle w:val="22"/>
          <w:bCs/>
          <w:color w:val="auto"/>
        </w:rPr>
        <w:t xml:space="preserve"> 浇筑和养护</w:t>
      </w:r>
      <w:r>
        <w:rPr>
          <w:bCs/>
        </w:rPr>
        <w:tab/>
      </w:r>
      <w:r>
        <w:rPr>
          <w:bCs/>
        </w:rPr>
        <w:t>26</w:t>
      </w:r>
      <w:r>
        <w:rPr>
          <w:bCs/>
        </w:rPr>
        <w:fldChar w:fldCharType="end"/>
      </w:r>
    </w:p>
    <w:p>
      <w:pPr>
        <w:pStyle w:val="13"/>
        <w:spacing w:line="360" w:lineRule="auto"/>
        <w:rPr>
          <w:rFonts w:asciiTheme="minorHAnsi" w:hAnsiTheme="minorHAnsi" w:eastAsiaTheme="minorEastAsia"/>
          <w:bCs/>
        </w:rPr>
      </w:pPr>
      <w:r>
        <w:fldChar w:fldCharType="begin"/>
      </w:r>
      <w:r>
        <w:instrText xml:space="preserve"> HYPERLINK \l "_Toc29547175" </w:instrText>
      </w:r>
      <w:r>
        <w:fldChar w:fldCharType="separate"/>
      </w:r>
      <w:r>
        <w:rPr>
          <w:rStyle w:val="22"/>
          <w:rFonts w:cs="Times New Roman"/>
          <w:bCs/>
          <w:color w:val="auto"/>
        </w:rPr>
        <w:t>6</w:t>
      </w:r>
      <w:r>
        <w:rPr>
          <w:rStyle w:val="22"/>
          <w:bCs/>
          <w:color w:val="auto"/>
        </w:rPr>
        <w:t xml:space="preserve"> 玻璃/陶瓷再生细骨料砂浆</w:t>
      </w:r>
      <w:r>
        <w:rPr>
          <w:bCs/>
        </w:rPr>
        <w:tab/>
      </w:r>
      <w:r>
        <w:rPr>
          <w:bCs/>
        </w:rPr>
        <w:t>27</w:t>
      </w:r>
      <w:r>
        <w:rPr>
          <w:bCs/>
        </w:rPr>
        <w:fldChar w:fldCharType="end"/>
      </w:r>
    </w:p>
    <w:p>
      <w:pPr>
        <w:pStyle w:val="14"/>
        <w:spacing w:line="360" w:lineRule="auto"/>
        <w:rPr>
          <w:rFonts w:asciiTheme="minorHAnsi" w:hAnsiTheme="minorHAnsi" w:eastAsiaTheme="minorEastAsia"/>
          <w:bCs/>
        </w:rPr>
      </w:pPr>
      <w:r>
        <w:fldChar w:fldCharType="begin"/>
      </w:r>
      <w:r>
        <w:instrText xml:space="preserve"> HYPERLINK \l "_Toc29547177" </w:instrText>
      </w:r>
      <w:r>
        <w:fldChar w:fldCharType="separate"/>
      </w:r>
      <w:r>
        <w:rPr>
          <w:rStyle w:val="22"/>
          <w:rFonts w:cs="Times New Roman"/>
          <w:bCs/>
          <w:color w:val="auto"/>
        </w:rPr>
        <w:t>6.1</w:t>
      </w:r>
      <w:r>
        <w:rPr>
          <w:rStyle w:val="22"/>
          <w:bCs/>
          <w:color w:val="auto"/>
        </w:rPr>
        <w:t xml:space="preserve"> 一般规定</w:t>
      </w:r>
      <w:r>
        <w:rPr>
          <w:bCs/>
        </w:rPr>
        <w:tab/>
      </w:r>
      <w:r>
        <w:rPr>
          <w:bCs/>
        </w:rPr>
        <w:t>27</w:t>
      </w:r>
      <w:r>
        <w:rPr>
          <w:bCs/>
        </w:rPr>
        <w:fldChar w:fldCharType="end"/>
      </w:r>
    </w:p>
    <w:p>
      <w:pPr>
        <w:pStyle w:val="14"/>
        <w:spacing w:line="360" w:lineRule="auto"/>
        <w:rPr>
          <w:rFonts w:asciiTheme="minorHAnsi" w:hAnsiTheme="minorHAnsi" w:eastAsiaTheme="minorEastAsia"/>
          <w:bCs/>
        </w:rPr>
      </w:pPr>
      <w:r>
        <w:fldChar w:fldCharType="begin"/>
      </w:r>
      <w:r>
        <w:instrText xml:space="preserve"> HYPERLINK \l "_Toc29547178" </w:instrText>
      </w:r>
      <w:r>
        <w:fldChar w:fldCharType="separate"/>
      </w:r>
      <w:r>
        <w:rPr>
          <w:rStyle w:val="22"/>
          <w:rFonts w:cs="Times New Roman"/>
          <w:bCs/>
          <w:color w:val="auto"/>
        </w:rPr>
        <w:t>6.2</w:t>
      </w:r>
      <w:r>
        <w:rPr>
          <w:rStyle w:val="22"/>
          <w:bCs/>
          <w:color w:val="auto"/>
        </w:rPr>
        <w:t xml:space="preserve"> 配合比设计</w:t>
      </w:r>
      <w:r>
        <w:rPr>
          <w:bCs/>
        </w:rPr>
        <w:tab/>
      </w:r>
      <w:r>
        <w:rPr>
          <w:bCs/>
        </w:rPr>
        <w:t>28</w:t>
      </w:r>
      <w:r>
        <w:rPr>
          <w:bCs/>
        </w:rPr>
        <w:fldChar w:fldCharType="end"/>
      </w:r>
    </w:p>
    <w:p>
      <w:pPr>
        <w:pStyle w:val="14"/>
        <w:spacing w:line="360" w:lineRule="auto"/>
        <w:rPr>
          <w:rFonts w:asciiTheme="minorHAnsi" w:hAnsiTheme="minorHAnsi" w:eastAsiaTheme="minorEastAsia"/>
          <w:bCs/>
        </w:rPr>
      </w:pPr>
      <w:r>
        <w:fldChar w:fldCharType="begin"/>
      </w:r>
      <w:r>
        <w:instrText xml:space="preserve"> HYPERLINK \l "_Toc29547179" </w:instrText>
      </w:r>
      <w:r>
        <w:fldChar w:fldCharType="separate"/>
      </w:r>
      <w:r>
        <w:rPr>
          <w:rStyle w:val="22"/>
          <w:rFonts w:cs="Times New Roman"/>
          <w:bCs/>
          <w:color w:val="auto"/>
        </w:rPr>
        <w:t>6.3</w:t>
      </w:r>
      <w:r>
        <w:rPr>
          <w:rStyle w:val="22"/>
          <w:bCs/>
          <w:color w:val="auto"/>
        </w:rPr>
        <w:t xml:space="preserve"> 制备和运输</w:t>
      </w:r>
      <w:r>
        <w:rPr>
          <w:bCs/>
        </w:rPr>
        <w:tab/>
      </w:r>
      <w:r>
        <w:rPr>
          <w:bCs/>
        </w:rPr>
        <w:t>29</w:t>
      </w:r>
      <w:r>
        <w:rPr>
          <w:bCs/>
        </w:rPr>
        <w:fldChar w:fldCharType="end"/>
      </w:r>
    </w:p>
    <w:p>
      <w:pPr>
        <w:pStyle w:val="14"/>
        <w:spacing w:line="360" w:lineRule="auto"/>
        <w:rPr>
          <w:rFonts w:asciiTheme="minorHAnsi" w:hAnsiTheme="minorHAnsi" w:eastAsiaTheme="minorEastAsia"/>
          <w:bCs/>
        </w:rPr>
      </w:pPr>
      <w:r>
        <w:fldChar w:fldCharType="begin"/>
      </w:r>
      <w:r>
        <w:instrText xml:space="preserve"> HYPERLINK \l "_Toc29547180" </w:instrText>
      </w:r>
      <w:r>
        <w:fldChar w:fldCharType="separate"/>
      </w:r>
      <w:r>
        <w:rPr>
          <w:rStyle w:val="22"/>
          <w:rFonts w:cs="Times New Roman"/>
          <w:bCs/>
          <w:color w:val="auto"/>
        </w:rPr>
        <w:t>6.4</w:t>
      </w:r>
      <w:r>
        <w:rPr>
          <w:rStyle w:val="22"/>
          <w:bCs/>
          <w:color w:val="auto"/>
        </w:rPr>
        <w:t xml:space="preserve"> 质量检验与验收</w:t>
      </w:r>
      <w:r>
        <w:rPr>
          <w:bCs/>
        </w:rPr>
        <w:tab/>
      </w:r>
      <w:r>
        <w:rPr>
          <w:bCs/>
        </w:rPr>
        <w:t>29</w:t>
      </w:r>
      <w:r>
        <w:rPr>
          <w:bCs/>
        </w:rPr>
        <w:fldChar w:fldCharType="end"/>
      </w:r>
    </w:p>
    <w:p>
      <w:pPr>
        <w:widowControl/>
        <w:jc w:val="left"/>
      </w:pPr>
      <w:r>
        <w:br w:type="page"/>
      </w:r>
    </w:p>
    <w:p>
      <w:pPr>
        <w:pStyle w:val="24"/>
        <w:numPr>
          <w:ilvl w:val="0"/>
          <w:numId w:val="0"/>
        </w:numPr>
        <w:spacing w:before="156" w:after="156"/>
      </w:pPr>
      <w:r>
        <w:rPr>
          <w:rFonts w:hint="eastAsia" w:cs="黑体"/>
          <w:spacing w:val="-1"/>
        </w:rPr>
        <w:fldChar w:fldCharType="end"/>
      </w:r>
      <w:r>
        <w:rPr>
          <w:rFonts w:hint="eastAsia"/>
        </w:rPr>
        <w:t>1总则</w:t>
      </w:r>
    </w:p>
    <w:p>
      <w:pPr>
        <w:pStyle w:val="54"/>
        <w:numPr>
          <w:ilvl w:val="0"/>
          <w:numId w:val="0"/>
        </w:numPr>
        <w:spacing w:line="360" w:lineRule="auto"/>
      </w:pPr>
      <w:r>
        <w:rPr>
          <w:rFonts w:hint="eastAsia" w:ascii="黑体" w:hAnsi="黑体" w:eastAsia="黑体"/>
          <w:b/>
        </w:rPr>
        <w:t>1.0.1</w:t>
      </w:r>
      <w:r>
        <w:rPr>
          <w:rFonts w:hint="eastAsia"/>
        </w:rPr>
        <w:t>推广使用玻璃/陶瓷再生细骨料不仅可以减轻废弃玻璃对环境的影响，同时可以缓解目前河砂、机制砂供应紧张的状况，符合国家节约资源、保护环境的大政策。但是由于玻璃/陶瓷再生细骨料的性能有别于一般的天然砂和机制砂，其应用也具有一定的特殊性，所以为了保证玻璃/陶瓷再生细骨料能合理、安全的应用到建筑工程中，需制定专门的规范。</w:t>
      </w:r>
    </w:p>
    <w:p>
      <w:pPr>
        <w:pStyle w:val="54"/>
        <w:numPr>
          <w:ilvl w:val="0"/>
          <w:numId w:val="0"/>
        </w:numPr>
        <w:spacing w:line="360" w:lineRule="auto"/>
      </w:pPr>
      <w:r>
        <w:rPr>
          <w:rFonts w:hint="eastAsia" w:ascii="黑体" w:hAnsi="黑体" w:eastAsia="黑体"/>
          <w:b/>
          <w:szCs w:val="18"/>
        </w:rPr>
        <w:t>1.0.2</w:t>
      </w:r>
      <w:r>
        <w:rPr>
          <w:rFonts w:hint="eastAsia" w:asciiTheme="minorEastAsia" w:eastAsiaTheme="minorEastAsia"/>
          <w:szCs w:val="18"/>
        </w:rPr>
        <w:t>本规程的适用</w:t>
      </w:r>
      <w:r>
        <w:rPr>
          <w:rFonts w:hint="eastAsia"/>
          <w:szCs w:val="18"/>
        </w:rPr>
        <w:t>范围限制在混凝土和砂浆，是因为现在市场上混凝土砌块（砖）用量较少，大部分工程都在使用节能墙材，在混凝土砌块（砖）中的应用可以暂时不做考虑。</w:t>
      </w:r>
    </w:p>
    <w:p>
      <w:pPr>
        <w:pStyle w:val="54"/>
        <w:numPr>
          <w:ilvl w:val="0"/>
          <w:numId w:val="0"/>
        </w:numPr>
        <w:spacing w:line="360" w:lineRule="auto"/>
      </w:pPr>
      <w:r>
        <w:rPr>
          <w:rFonts w:hint="eastAsia" w:ascii="黑体" w:hAnsi="黑体" w:eastAsia="黑体"/>
          <w:b/>
        </w:rPr>
        <w:t>1.0.3</w:t>
      </w:r>
      <w:r>
        <w:rPr>
          <w:rFonts w:hint="eastAsia"/>
        </w:rPr>
        <w:t>玻璃/陶瓷再生细骨料属于再生建材产品，其生产和应用于混凝土和砂浆，需符合现行国家、行业及福建省有关标准的规定。</w:t>
      </w:r>
    </w:p>
    <w:p>
      <w:pPr>
        <w:pStyle w:val="54"/>
        <w:numPr>
          <w:ilvl w:val="0"/>
          <w:numId w:val="0"/>
        </w:numPr>
        <w:spacing w:line="360" w:lineRule="auto"/>
        <w:rPr>
          <w:rFonts w:ascii="黑体" w:hAnsi="黑体" w:eastAsia="黑体"/>
          <w:b/>
        </w:rPr>
      </w:pPr>
      <w:r>
        <w:rPr>
          <w:rFonts w:hint="eastAsia" w:ascii="黑体" w:hAnsi="黑体" w:eastAsia="黑体"/>
          <w:b/>
        </w:rPr>
        <w:t xml:space="preserve">1.0.4 </w:t>
      </w:r>
      <w:r>
        <w:rPr>
          <w:rFonts w:hint="eastAsia" w:asciiTheme="minorEastAsia" w:eastAsiaTheme="minorEastAsia"/>
        </w:rPr>
        <w:t>建筑材料的生产和应用需符合国家和地方的安全及环保要求，玻璃/陶瓷再生细骨料属于利用废弃资源生产的再生建筑材料，其生产和应用同样必须符合国家和地方的安全及环保要求。</w:t>
      </w:r>
    </w:p>
    <w:p>
      <w:pPr>
        <w:widowControl/>
        <w:jc w:val="left"/>
        <w:rPr>
          <w:rFonts w:ascii="黑体" w:hAnsi="黑体" w:eastAsia="黑体"/>
          <w:sz w:val="30"/>
          <w:szCs w:val="24"/>
        </w:rPr>
      </w:pPr>
      <w:r>
        <w:br w:type="page"/>
      </w:r>
    </w:p>
    <w:p>
      <w:pPr>
        <w:pStyle w:val="24"/>
        <w:numPr>
          <w:ilvl w:val="0"/>
          <w:numId w:val="0"/>
        </w:numPr>
        <w:spacing w:before="156" w:after="156"/>
        <w:rPr>
          <w:sz w:val="32"/>
          <w:szCs w:val="32"/>
        </w:rPr>
      </w:pPr>
      <w:r>
        <w:rPr>
          <w:rFonts w:hint="eastAsia"/>
          <w:sz w:val="32"/>
          <w:szCs w:val="32"/>
        </w:rPr>
        <w:t>2</w:t>
      </w:r>
      <w:r>
        <w:rPr>
          <w:sz w:val="32"/>
          <w:szCs w:val="32"/>
        </w:rPr>
        <w:t>术语和</w:t>
      </w:r>
      <w:r>
        <w:rPr>
          <w:rFonts w:hint="eastAsia"/>
          <w:sz w:val="32"/>
          <w:szCs w:val="32"/>
        </w:rPr>
        <w:t>符号</w:t>
      </w:r>
    </w:p>
    <w:p>
      <w:pPr>
        <w:pStyle w:val="51"/>
        <w:numPr>
          <w:ilvl w:val="0"/>
          <w:numId w:val="0"/>
        </w:numPr>
        <w:spacing w:before="156" w:after="156"/>
        <w:ind w:left="3685"/>
        <w:jc w:val="both"/>
        <w:rPr>
          <w:szCs w:val="28"/>
        </w:rPr>
      </w:pPr>
      <w:r>
        <w:rPr>
          <w:rFonts w:hint="eastAsia"/>
          <w:szCs w:val="28"/>
        </w:rPr>
        <w:t>2.1术语</w:t>
      </w:r>
    </w:p>
    <w:p>
      <w:pPr>
        <w:pStyle w:val="54"/>
        <w:numPr>
          <w:ilvl w:val="0"/>
          <w:numId w:val="0"/>
        </w:numPr>
        <w:spacing w:line="360" w:lineRule="auto"/>
        <w:rPr>
          <w:rFonts w:asciiTheme="minorEastAsia" w:eastAsiaTheme="minorEastAsia"/>
        </w:rPr>
      </w:pPr>
      <w:r>
        <w:rPr>
          <w:rFonts w:hint="eastAsia" w:ascii="黑体" w:hAnsi="黑体" w:eastAsia="黑体"/>
          <w:b/>
        </w:rPr>
        <w:t>2.1.1</w:t>
      </w:r>
      <w:r>
        <w:rPr>
          <w:rFonts w:hint="eastAsia"/>
        </w:rPr>
        <w:t>～</w:t>
      </w:r>
      <w:r>
        <w:rPr>
          <w:rFonts w:hint="eastAsia" w:ascii="黑体" w:hAnsi="黑体" w:eastAsia="黑体"/>
          <w:b/>
          <w:bCs/>
        </w:rPr>
        <w:t>2</w:t>
      </w:r>
      <w:r>
        <w:rPr>
          <w:rFonts w:ascii="黑体" w:hAnsi="黑体" w:eastAsia="黑体"/>
          <w:b/>
          <w:bCs/>
        </w:rPr>
        <w:t xml:space="preserve">.1.2 </w:t>
      </w:r>
      <w:r>
        <w:rPr>
          <w:rFonts w:hint="eastAsia"/>
        </w:rPr>
        <w:t>现行国家标准《混凝土和砂浆用再生细骨料》G</w:t>
      </w:r>
      <w:r>
        <w:t xml:space="preserve">B/T </w:t>
      </w:r>
      <w:r>
        <w:rPr>
          <w:rFonts w:asciiTheme="minorEastAsia" w:eastAsiaTheme="minorEastAsia"/>
        </w:rPr>
        <w:t>25176</w:t>
      </w:r>
      <w:r>
        <w:rPr>
          <w:rFonts w:hint="eastAsia" w:asciiTheme="minorEastAsia" w:eastAsiaTheme="minorEastAsia"/>
        </w:rPr>
        <w:t>对“混凝土和砂浆用再生细骨料”的定义为：由建</w:t>
      </w:r>
      <w:r>
        <w:rPr>
          <w:rFonts w:asciiTheme="minorEastAsia" w:eastAsiaTheme="minorEastAsia"/>
        </w:rPr>
        <w:t>(构)筑废物中的混凝土、砂浆、石、砖瓦等加工而成,用于配制混凝土和砂浆的粒径不大于4.75 mm</w:t>
      </w:r>
      <w:r>
        <w:rPr>
          <w:rFonts w:hint="eastAsia" w:asciiTheme="minorEastAsia" w:eastAsiaTheme="minorEastAsia"/>
        </w:rPr>
        <w:t>的颗粒。本规程的玻璃/陶瓷再生细骨料来源主要为生活垃圾中废弃的玻璃/陶瓷经破碎所得，因玻璃/陶瓷的性能差异较大，因此需对玻璃/陶瓷再生细骨料分开定义予以说明。</w:t>
      </w:r>
    </w:p>
    <w:p>
      <w:pPr>
        <w:pStyle w:val="54"/>
        <w:numPr>
          <w:ilvl w:val="0"/>
          <w:numId w:val="0"/>
        </w:numPr>
        <w:spacing w:line="360" w:lineRule="auto"/>
        <w:rPr>
          <w:rFonts w:asciiTheme="minorEastAsia" w:eastAsiaTheme="minorEastAsia"/>
        </w:rPr>
      </w:pPr>
      <w:r>
        <w:rPr>
          <w:rFonts w:hint="eastAsia" w:ascii="黑体" w:hAnsi="黑体" w:eastAsia="黑体"/>
          <w:b/>
          <w:bCs/>
        </w:rPr>
        <w:t>2</w:t>
      </w:r>
      <w:r>
        <w:rPr>
          <w:rFonts w:ascii="黑体" w:hAnsi="黑体" w:eastAsia="黑体"/>
          <w:b/>
          <w:bCs/>
        </w:rPr>
        <w:t>.1.4</w:t>
      </w:r>
      <w:r>
        <w:rPr>
          <w:rFonts w:hint="eastAsia"/>
        </w:rPr>
        <w:t>～</w:t>
      </w:r>
      <w:r>
        <w:rPr>
          <w:rFonts w:hint="eastAsia" w:ascii="黑体" w:hAnsi="黑体" w:eastAsia="黑体"/>
          <w:b/>
          <w:bCs/>
        </w:rPr>
        <w:t>2</w:t>
      </w:r>
      <w:r>
        <w:rPr>
          <w:rFonts w:ascii="黑体" w:hAnsi="黑体" w:eastAsia="黑体"/>
          <w:b/>
          <w:bCs/>
        </w:rPr>
        <w:t>.1.5</w:t>
      </w:r>
      <w:r>
        <w:rPr>
          <w:rFonts w:hint="eastAsia" w:asciiTheme="minorEastAsia" w:eastAsiaTheme="minorEastAsia"/>
        </w:rPr>
        <w:t>玻璃/陶瓷再生细骨料性能差异较大，二者对混凝土和砂浆性能的影响大不一样，同时掺入玻璃和陶瓷再生细骨料对混凝土和砂浆产生的影响较难评估，因此本规程要求玻璃和陶瓷再生细骨料应分开使用，不应同时掺入玻璃和陶瓷再生细骨料。</w:t>
      </w:r>
    </w:p>
    <w:p>
      <w:pPr>
        <w:widowControl/>
        <w:jc w:val="left"/>
        <w:rPr>
          <w:rFonts w:asciiTheme="minorEastAsia" w:hAnsiTheme="minorEastAsia" w:eastAsiaTheme="minorEastAsia"/>
          <w:szCs w:val="21"/>
        </w:rPr>
      </w:pPr>
      <w:r>
        <w:rPr>
          <w:rFonts w:asciiTheme="minorEastAsia" w:eastAsiaTheme="minorEastAsia"/>
        </w:rPr>
        <w:br w:type="page"/>
      </w:r>
    </w:p>
    <w:p>
      <w:pPr>
        <w:pStyle w:val="24"/>
        <w:numPr>
          <w:ilvl w:val="0"/>
          <w:numId w:val="6"/>
        </w:numPr>
        <w:spacing w:before="156" w:after="156"/>
        <w:rPr>
          <w:sz w:val="32"/>
          <w:szCs w:val="32"/>
        </w:rPr>
      </w:pPr>
      <w:r>
        <w:rPr>
          <w:rFonts w:hint="eastAsia"/>
          <w:sz w:val="32"/>
          <w:szCs w:val="32"/>
        </w:rPr>
        <w:t>基本规定</w:t>
      </w:r>
    </w:p>
    <w:p>
      <w:pPr>
        <w:pStyle w:val="54"/>
        <w:numPr>
          <w:ilvl w:val="0"/>
          <w:numId w:val="0"/>
        </w:numPr>
        <w:spacing w:line="360" w:lineRule="auto"/>
        <w:rPr>
          <w:rStyle w:val="37"/>
        </w:rPr>
      </w:pPr>
      <w:r>
        <w:rPr>
          <w:rFonts w:hint="eastAsia" w:ascii="黑体" w:hAnsi="黑体" w:eastAsia="黑体"/>
          <w:b/>
          <w:bCs/>
        </w:rPr>
        <w:t>3</w:t>
      </w:r>
      <w:r>
        <w:rPr>
          <w:rFonts w:ascii="黑体" w:hAnsi="黑体" w:eastAsia="黑体"/>
          <w:b/>
          <w:bCs/>
        </w:rPr>
        <w:t>.0.1-3.0.3</w:t>
      </w:r>
      <w:r>
        <w:rPr>
          <w:rStyle w:val="37"/>
        </w:rPr>
        <w:t>原则上，有害杂质含量不足以影响玻璃</w:t>
      </w:r>
      <w:r>
        <w:rPr>
          <w:rStyle w:val="37"/>
          <w:rFonts w:hint="eastAsia"/>
        </w:rPr>
        <w:t>/</w:t>
      </w:r>
      <w:r>
        <w:rPr>
          <w:rStyle w:val="37"/>
        </w:rPr>
        <w:t>陶瓷再生细骨料砂浆和混凝土</w:t>
      </w:r>
      <w:r>
        <w:rPr>
          <w:rStyle w:val="37"/>
          <w:rFonts w:hint="eastAsia"/>
        </w:rPr>
        <w:t>使用性能的</w:t>
      </w:r>
      <w:r>
        <w:rPr>
          <w:rStyle w:val="37"/>
        </w:rPr>
        <w:t>废弃玻璃</w:t>
      </w:r>
      <w:r>
        <w:rPr>
          <w:rStyle w:val="37"/>
          <w:rFonts w:hint="eastAsia"/>
        </w:rPr>
        <w:t>/</w:t>
      </w:r>
      <w:r>
        <w:rPr>
          <w:rStyle w:val="37"/>
        </w:rPr>
        <w:t>陶瓷</w:t>
      </w:r>
      <w:r>
        <w:rPr>
          <w:rStyle w:val="37"/>
          <w:rFonts w:hint="eastAsia"/>
        </w:rPr>
        <w:t>均能用来生产</w:t>
      </w:r>
      <w:r>
        <w:rPr>
          <w:rStyle w:val="37"/>
        </w:rPr>
        <w:t>玻璃和陶瓷</w:t>
      </w:r>
      <w:r>
        <w:rPr>
          <w:rStyle w:val="37"/>
          <w:rFonts w:hint="eastAsia"/>
        </w:rPr>
        <w:t>再生</w:t>
      </w:r>
      <w:r>
        <w:rPr>
          <w:rStyle w:val="37"/>
        </w:rPr>
        <w:t>细</w:t>
      </w:r>
      <w:r>
        <w:rPr>
          <w:rStyle w:val="37"/>
          <w:rFonts w:hint="eastAsia"/>
        </w:rPr>
        <w:t>骨料，但下列情况下，废弃玻璃和陶瓷不应用于生产玻璃和陶瓷再生细骨料</w:t>
      </w:r>
      <w:r>
        <w:rPr>
          <w:rStyle w:val="37"/>
        </w:rPr>
        <w:t>:</w:t>
      </w:r>
    </w:p>
    <w:p>
      <w:pPr>
        <w:pStyle w:val="31"/>
        <w:numPr>
          <w:ilvl w:val="4"/>
          <w:numId w:val="5"/>
        </w:numPr>
        <w:ind w:left="578" w:hanging="158"/>
      </w:pPr>
      <w:r>
        <w:rPr>
          <w:rFonts w:hint="eastAsia"/>
        </w:rPr>
        <w:t>废弃玻璃/陶瓷</w:t>
      </w:r>
      <w:r>
        <w:t>来源于特殊场合(如核电站、</w:t>
      </w:r>
      <w:r>
        <w:rPr>
          <w:rFonts w:hint="eastAsia"/>
        </w:rPr>
        <w:t>医院放射室、医疗废物等</w:t>
      </w:r>
      <w:r>
        <w:t>)</w:t>
      </w:r>
      <w:r>
        <w:rPr>
          <w:rFonts w:hint="eastAsia"/>
        </w:rPr>
        <w:t>；</w:t>
      </w:r>
    </w:p>
    <w:p>
      <w:pPr>
        <w:pStyle w:val="31"/>
        <w:numPr>
          <w:ilvl w:val="4"/>
          <w:numId w:val="5"/>
        </w:numPr>
        <w:ind w:left="578" w:hanging="158"/>
      </w:pPr>
      <w:r>
        <w:rPr>
          <w:rFonts w:hint="eastAsia"/>
        </w:rPr>
        <w:t>废弃玻璃/陶瓷</w:t>
      </w:r>
      <w:r>
        <w:t>中硫化物含量高于600mg/L</w:t>
      </w:r>
      <w:r>
        <w:rPr>
          <w:rFonts w:hint="eastAsia"/>
        </w:rPr>
        <w:t>；</w:t>
      </w:r>
    </w:p>
    <w:p>
      <w:pPr>
        <w:pStyle w:val="31"/>
        <w:numPr>
          <w:ilvl w:val="4"/>
          <w:numId w:val="5"/>
        </w:numPr>
        <w:ind w:left="578" w:hanging="158"/>
      </w:pPr>
      <w:r>
        <w:rPr>
          <w:rFonts w:hint="eastAsia"/>
        </w:rPr>
        <w:t>废弃玻璃/陶瓷</w:t>
      </w:r>
      <w:r>
        <w:t>已受重金属或有机物污染；</w:t>
      </w:r>
    </w:p>
    <w:p>
      <w:pPr>
        <w:pStyle w:val="31"/>
        <w:numPr>
          <w:ilvl w:val="4"/>
          <w:numId w:val="5"/>
        </w:numPr>
        <w:ind w:left="578" w:hanging="158"/>
      </w:pPr>
      <w:r>
        <w:rPr>
          <w:rFonts w:hint="eastAsia"/>
        </w:rPr>
        <w:t>废弃玻璃/陶瓷</w:t>
      </w:r>
      <w:r>
        <w:t>已受硫酸盐或氯盐等腐蚀介质严重侵蚀</w:t>
      </w:r>
      <w:r>
        <w:rPr>
          <w:rFonts w:hint="eastAsia"/>
        </w:rPr>
        <w:t>；</w:t>
      </w:r>
    </w:p>
    <w:p>
      <w:pPr>
        <w:pStyle w:val="31"/>
        <w:numPr>
          <w:ilvl w:val="4"/>
          <w:numId w:val="5"/>
        </w:numPr>
        <w:ind w:left="578" w:hanging="158"/>
      </w:pPr>
      <w:r>
        <w:rPr>
          <w:rFonts w:hint="eastAsia"/>
        </w:rPr>
        <w:t>废弃玻璃/陶瓷与有害化学物质接触过。</w:t>
      </w:r>
    </w:p>
    <w:p>
      <w:pPr>
        <w:widowControl/>
        <w:jc w:val="left"/>
        <w:rPr>
          <w:rFonts w:asciiTheme="minorEastAsia" w:hAnsiTheme="minorEastAsia" w:eastAsiaTheme="minorEastAsia"/>
          <w:szCs w:val="21"/>
        </w:rPr>
      </w:pPr>
      <w:r>
        <w:rPr>
          <w:rFonts w:asciiTheme="minorEastAsia" w:eastAsiaTheme="minorEastAsia"/>
        </w:rPr>
        <w:br w:type="page"/>
      </w:r>
    </w:p>
    <w:p>
      <w:pPr>
        <w:pStyle w:val="24"/>
        <w:spacing w:beforeLines="0" w:afterLines="0"/>
        <w:rPr>
          <w:sz w:val="32"/>
          <w:szCs w:val="32"/>
        </w:rPr>
      </w:pPr>
      <w:r>
        <w:rPr>
          <w:rFonts w:hint="eastAsia"/>
          <w:sz w:val="32"/>
          <w:szCs w:val="32"/>
        </w:rPr>
        <w:t>玻璃/陶瓷再生细骨料</w:t>
      </w:r>
    </w:p>
    <w:p>
      <w:pPr>
        <w:pStyle w:val="51"/>
        <w:spacing w:before="156" w:after="156"/>
        <w:rPr>
          <w:vanish/>
        </w:rPr>
      </w:pPr>
      <w:r>
        <w:rPr>
          <w:rFonts w:hint="eastAsia"/>
          <w:vanish/>
        </w:rPr>
        <w:t>技术要求</w:t>
      </w:r>
    </w:p>
    <w:p>
      <w:pPr>
        <w:pStyle w:val="51"/>
        <w:spacing w:before="156" w:after="156"/>
        <w:rPr>
          <w:szCs w:val="28"/>
        </w:rPr>
      </w:pPr>
      <w:r>
        <w:rPr>
          <w:rFonts w:hint="eastAsia"/>
          <w:szCs w:val="28"/>
        </w:rPr>
        <w:t>技术要求</w:t>
      </w:r>
    </w:p>
    <w:p>
      <w:pPr>
        <w:pStyle w:val="54"/>
        <w:spacing w:line="360" w:lineRule="auto"/>
      </w:pPr>
      <w:r>
        <w:rPr>
          <w:rFonts w:hint="eastAsia"/>
        </w:rPr>
        <w:t>通过控制玻璃再生细骨料的微粉含量在</w:t>
      </w:r>
      <w:r>
        <w:t>5%、10%、15%、20%，以40%的比例替代机制砂进行混凝土试验，试验表明玻璃微粉的含量不仅不会影响混凝土的强度还能在一定程度上提高混凝土强度，</w:t>
      </w:r>
      <w:r>
        <w:rPr>
          <w:rFonts w:hint="eastAsia"/>
        </w:rPr>
        <w:t>当玻璃微粉含量为2</w:t>
      </w:r>
      <w:r>
        <w:t>0</w:t>
      </w:r>
      <w:r>
        <w:rPr>
          <w:rFonts w:hint="eastAsia"/>
        </w:rPr>
        <w:t>%时，C</w:t>
      </w:r>
      <w:r>
        <w:t>30</w:t>
      </w:r>
      <w:r>
        <w:rPr>
          <w:rFonts w:hint="eastAsia"/>
        </w:rPr>
        <w:t>混凝土的2</w:t>
      </w:r>
      <w:r>
        <w:t>8</w:t>
      </w:r>
      <w:r>
        <w:rPr>
          <w:rFonts w:hint="eastAsia"/>
        </w:rPr>
        <w:t>d抗压强度增长5</w:t>
      </w:r>
      <w:r>
        <w:t>M</w:t>
      </w:r>
      <w:r>
        <w:rPr>
          <w:rFonts w:hint="eastAsia"/>
        </w:rPr>
        <w:t>Pa左右，C</w:t>
      </w:r>
      <w:r>
        <w:t>50</w:t>
      </w:r>
      <w:r>
        <w:rPr>
          <w:rFonts w:hint="eastAsia"/>
        </w:rPr>
        <w:t>混凝土的2</w:t>
      </w:r>
      <w:r>
        <w:t>8</w:t>
      </w:r>
      <w:r>
        <w:rPr>
          <w:rFonts w:hint="eastAsia"/>
        </w:rPr>
        <w:t>d抗压强度增长4</w:t>
      </w:r>
      <w:r>
        <w:t>M</w:t>
      </w:r>
      <w:r>
        <w:rPr>
          <w:rFonts w:hint="eastAsia"/>
        </w:rPr>
        <w:t>Pa左右，并且对后期强度无影响。</w:t>
      </w:r>
      <w:r>
        <w:t>但是当微粉含量超过10%时，会明显的影响混凝土的</w:t>
      </w:r>
      <w:r>
        <w:rPr>
          <w:rFonts w:hint="eastAsia"/>
        </w:rPr>
        <w:t>粘度，特别是损失后的粘度</w:t>
      </w:r>
      <w:r>
        <w:t>。</w:t>
      </w:r>
      <w:r>
        <w:rPr>
          <w:rFonts w:hint="eastAsia"/>
        </w:rPr>
        <w:t>国内有学者研究发现，一定量的玻璃微粉可以有效抑制玻璃再生细骨料的碱集料反应。综合考虑，本规程参照《混凝土和砂浆用再生细骨料》</w:t>
      </w:r>
      <w:r>
        <w:t>GB/T 25176</w:t>
      </w:r>
      <w:r>
        <w:rPr>
          <w:rFonts w:hint="eastAsia"/>
        </w:rPr>
        <w:t>中对I</w:t>
      </w:r>
      <w:r>
        <w:t>II</w:t>
      </w:r>
      <w:r>
        <w:rPr>
          <w:rFonts w:hint="eastAsia"/>
        </w:rPr>
        <w:t>类砂微粉含量的要求取值，有利于玻璃再生细骨料的推广使用。</w:t>
      </w:r>
    </w:p>
    <w:p>
      <w:pPr>
        <w:pStyle w:val="35"/>
        <w:spacing w:line="360" w:lineRule="auto"/>
      </w:pPr>
      <w:r>
        <w:rPr>
          <w:rFonts w:hint="eastAsia"/>
        </w:rPr>
        <w:t>通过</w:t>
      </w:r>
      <w:r>
        <w:t>控制陶瓷再生细骨料的微粉含量在5%、10%、15%、20%，以30%的比例替代机制砂进行了混凝土试验，试验表明陶瓷微粉的含量对混凝土的含气量和强度都有较大的影响，超过10%时，对强度有比较明显的影响，因此本规程</w:t>
      </w:r>
      <w:r>
        <w:rPr>
          <w:rFonts w:hint="eastAsia"/>
        </w:rPr>
        <w:t>参照《混凝土和砂浆用再生细骨料》</w:t>
      </w:r>
      <w:r>
        <w:t>GB/T 25176中对</w:t>
      </w:r>
      <w:r>
        <w:rPr>
          <w:rFonts w:hint="eastAsia"/>
        </w:rPr>
        <w:t>I</w:t>
      </w:r>
      <w:r>
        <w:t>类砂微粉含量的要求取值</w:t>
      </w:r>
      <w:r>
        <w:rPr>
          <w:rFonts w:hint="eastAsia"/>
        </w:rPr>
        <w:t>，</w:t>
      </w:r>
      <w:r>
        <w:t>严格控制陶瓷再生细骨料的微粉含量。</w:t>
      </w:r>
    </w:p>
    <w:p>
      <w:pPr>
        <w:pStyle w:val="35"/>
        <w:spacing w:line="360" w:lineRule="auto"/>
      </w:pPr>
      <w:r>
        <w:rPr>
          <w:rFonts w:hint="eastAsia"/>
        </w:rPr>
        <w:t>生产玻璃再生细骨料的原材料主要来源于生活垃圾及建筑垃圾中的废弃玻璃，基本属于普通玻璃，普通玻璃的表观密度一般在2</w:t>
      </w:r>
      <w:r>
        <w:t>500</w:t>
      </w:r>
      <w:r>
        <w:rPr>
          <w:rFonts w:hint="eastAsia"/>
        </w:rPr>
        <w:t>kg</w:t>
      </w:r>
      <w:r>
        <w:t>/</w:t>
      </w:r>
      <w:r>
        <w:rPr>
          <w:rFonts w:hint="eastAsia"/>
        </w:rPr>
        <w:t>m³，经检测，由产线生产出来的不同批次的玻璃再生细骨料的表观密度均在24</w:t>
      </w:r>
      <w:r>
        <w:t>50</w:t>
      </w:r>
      <w:r>
        <w:rPr>
          <w:rFonts w:hint="eastAsia"/>
        </w:rPr>
        <w:t>kg</w:t>
      </w:r>
      <w:r>
        <w:t>/</w:t>
      </w:r>
      <w:r>
        <w:rPr>
          <w:rFonts w:hint="eastAsia"/>
        </w:rPr>
        <w:t>m³以上，因此规定玻璃再生细骨料的表观密度≥2</w:t>
      </w:r>
      <w:r>
        <w:t>450</w:t>
      </w:r>
      <w:r>
        <w:rPr>
          <w:rFonts w:hint="eastAsia"/>
        </w:rPr>
        <w:t>kg</w:t>
      </w:r>
      <w:r>
        <w:t>/</w:t>
      </w:r>
      <w:r>
        <w:rPr>
          <w:rFonts w:hint="eastAsia"/>
        </w:rPr>
        <w:t>m³。</w:t>
      </w:r>
    </w:p>
    <w:p>
      <w:pPr>
        <w:pStyle w:val="35"/>
        <w:spacing w:line="360" w:lineRule="auto"/>
        <w:rPr>
          <w:rFonts w:asciiTheme="minorEastAsia" w:eastAsiaTheme="minorEastAsia"/>
        </w:rPr>
      </w:pPr>
      <w:r>
        <w:t>陶瓷</w:t>
      </w:r>
      <w:r>
        <w:rPr>
          <w:rFonts w:hint="eastAsia"/>
        </w:rPr>
        <w:t>在烧结过程</w:t>
      </w:r>
      <w:r>
        <w:t>中会存在部分的闭合孔洞</w:t>
      </w:r>
      <w:r>
        <w:rPr>
          <w:rFonts w:hint="eastAsia"/>
        </w:rPr>
        <w:t>，因此表观密度波动较大，经检测，由产线生产出来的不同批次的陶瓷再生细骨料的表观密度均在2250kg/m³以上，因此规定陶瓷再生细骨料的表观密度≥2250kg</w:t>
      </w:r>
      <w:r>
        <w:t>/</w:t>
      </w:r>
      <w:r>
        <w:rPr>
          <w:rFonts w:hint="eastAsia"/>
        </w:rPr>
        <w:t>m³。适当的放宽陶瓷再生细骨料的表观密度限制在保证工程质量的情况下，</w:t>
      </w:r>
      <w:r>
        <w:rPr>
          <w:rFonts w:hint="eastAsia" w:asciiTheme="minorEastAsia" w:eastAsiaTheme="minorEastAsia"/>
        </w:rPr>
        <w:t>将有利于促进陶瓷再生细骨料的回收利用率。</w:t>
      </w:r>
    </w:p>
    <w:p>
      <w:pPr>
        <w:pStyle w:val="35"/>
        <w:spacing w:line="360" w:lineRule="auto"/>
        <w:rPr>
          <w:rFonts w:asciiTheme="minorEastAsia" w:eastAsiaTheme="minorEastAsia"/>
        </w:rPr>
      </w:pPr>
      <w:r>
        <w:rPr>
          <w:rFonts w:hint="eastAsia" w:cs="Times New Roman"/>
          <w:szCs w:val="21"/>
        </w:rPr>
        <w:t>将水泥碱含量调整到</w:t>
      </w:r>
      <w:r>
        <w:rPr>
          <w:rFonts w:cs="Times New Roman"/>
          <w:szCs w:val="21"/>
        </w:rPr>
        <w:t>1.2</w:t>
      </w:r>
      <w:r>
        <w:rPr>
          <w:rFonts w:hint="eastAsia" w:cs="Times New Roman"/>
          <w:szCs w:val="21"/>
        </w:rPr>
        <w:t>%、1</w:t>
      </w:r>
      <w:r>
        <w:rPr>
          <w:rFonts w:cs="Times New Roman"/>
          <w:szCs w:val="21"/>
        </w:rPr>
        <w:t>.8</w:t>
      </w:r>
      <w:r>
        <w:rPr>
          <w:rFonts w:hint="eastAsia" w:cs="Times New Roman"/>
          <w:szCs w:val="21"/>
        </w:rPr>
        <w:t>%、2</w:t>
      </w:r>
      <w:r>
        <w:rPr>
          <w:rFonts w:cs="Times New Roman"/>
          <w:szCs w:val="21"/>
        </w:rPr>
        <w:t>.4</w:t>
      </w:r>
      <w:r>
        <w:rPr>
          <w:rFonts w:hint="eastAsia" w:cs="Times New Roman"/>
          <w:szCs w:val="21"/>
        </w:rPr>
        <w:t>%、3</w:t>
      </w:r>
      <w:r>
        <w:rPr>
          <w:rFonts w:cs="Times New Roman"/>
          <w:szCs w:val="21"/>
        </w:rPr>
        <w:t>.0</w:t>
      </w:r>
      <w:r>
        <w:rPr>
          <w:rFonts w:hint="eastAsia" w:cs="Times New Roman"/>
          <w:szCs w:val="21"/>
        </w:rPr>
        <w:t>%，按照</w:t>
      </w:r>
      <w:r>
        <w:rPr>
          <w:rFonts w:hint="eastAsia" w:eastAsia="Times New Roman" w:cs="Times New Roman"/>
          <w:szCs w:val="21"/>
        </w:rPr>
        <w:t xml:space="preserve">GB/T </w:t>
      </w:r>
      <w:r>
        <w:rPr>
          <w:rFonts w:hint="eastAsia" w:cs="Times New Roman" w:eastAsiaTheme="minorEastAsia"/>
          <w:szCs w:val="21"/>
        </w:rPr>
        <w:t>25176规定的</w:t>
      </w:r>
      <w:r>
        <w:rPr>
          <w:rFonts w:hint="eastAsia" w:cs="Times New Roman"/>
          <w:szCs w:val="21"/>
        </w:rPr>
        <w:t>碱-硅酸反应试验方法进行碱集料反应试验，发现在56d时，碱含量1.8%的试验组出现碱集料反应现象（胶体外溢、膨胀率超过0.10%），说明在高碱含量条件下，玻璃再生细骨料还是存在潜在的碱集料反应危害。因此规程规定，按照标准规定的快速碱-硅酸反应试验方法进行检验，应无潜在的碱-硅酸反应危害。</w:t>
      </w:r>
    </w:p>
    <w:p>
      <w:pPr>
        <w:pStyle w:val="54"/>
        <w:numPr>
          <w:ilvl w:val="0"/>
          <w:numId w:val="0"/>
        </w:numPr>
        <w:spacing w:line="360" w:lineRule="auto"/>
        <w:ind w:firstLine="420" w:firstLineChars="200"/>
      </w:pPr>
      <w:r>
        <w:rPr>
          <w:rFonts w:hint="eastAsia"/>
        </w:rPr>
        <w:t>由于废弃玻璃和陶瓷中不含云母成分和泥块，故不检测云母含量及泥块含量。试验过程中发现，玻璃和陶瓷再生细骨料的胶砂需水量比及再生胶砂强度比对混凝土及砂浆的影响较小，故本规程不作规定，玻璃和陶瓷再生细骨料的力学性能以压碎值作为控制值，颗粒级配、坚固性、有害物质含量和压碎值参照《混凝土和砂浆用再生细骨料》</w:t>
      </w:r>
      <w:r>
        <w:t>GB/T 25176的规定</w:t>
      </w:r>
      <w:r>
        <w:rPr>
          <w:rFonts w:hint="eastAsia"/>
        </w:rPr>
        <w:t>执行。</w:t>
      </w:r>
    </w:p>
    <w:p>
      <w:pPr>
        <w:pStyle w:val="51"/>
        <w:spacing w:before="156" w:after="156"/>
        <w:rPr>
          <w:szCs w:val="28"/>
        </w:rPr>
      </w:pPr>
      <w:r>
        <w:rPr>
          <w:rFonts w:hint="eastAsia"/>
          <w:szCs w:val="28"/>
        </w:rPr>
        <w:t>进场检验</w:t>
      </w:r>
    </w:p>
    <w:p>
      <w:pPr>
        <w:pStyle w:val="54"/>
        <w:spacing w:line="360" w:lineRule="auto"/>
      </w:pPr>
      <w:r>
        <w:t>由于再生骨料的来源较复杂，为了保证来货的性能质量</w:t>
      </w:r>
      <w:r>
        <w:rPr>
          <w:rFonts w:hint="eastAsia"/>
        </w:rPr>
        <w:t>和进行质量追溯，再生骨料进场手续检验应更加严格，应验收质量证明文件，包括型式检验报告、出厂检验报告及合格证等，</w:t>
      </w:r>
      <w:r>
        <w:t>质</w:t>
      </w:r>
      <w:r>
        <w:rPr>
          <w:rFonts w:hint="eastAsia"/>
        </w:rPr>
        <w:t>量证明文件中还要体现生产厂信息、合格证编号、再生骨料类别、批号及出厂日期、再生骨料数量等内容。用于混凝士或砂浆的再生骨料型式检验、出厂检验按照现行</w:t>
      </w:r>
      <w:r>
        <w:t>《混凝土和砂</w:t>
      </w:r>
      <w:r>
        <w:rPr>
          <w:rFonts w:hint="eastAsia"/>
        </w:rPr>
        <w:t>浆用再生细骨料》</w:t>
      </w:r>
      <w:r>
        <w:t>GB/T 25176来执行。</w:t>
      </w:r>
    </w:p>
    <w:p>
      <w:pPr>
        <w:pStyle w:val="54"/>
        <w:spacing w:line="360" w:lineRule="auto"/>
      </w:pPr>
      <w:r>
        <w:t>再生骨料的进场检验是按照用户最关心且便于检验指标</w:t>
      </w:r>
      <w:r>
        <w:rPr>
          <w:rFonts w:hint="eastAsia"/>
        </w:rPr>
        <w:t>的原则来确定所选项目的。由于玻璃和陶瓷再生细</w:t>
      </w:r>
      <w:r>
        <w:rPr>
          <w:rFonts w:hint="eastAsia" w:cs="Times New Roman"/>
        </w:rPr>
        <w:t>骨料</w:t>
      </w:r>
      <w:r>
        <w:rPr>
          <w:rFonts w:hint="eastAsia"/>
        </w:rPr>
        <w:t>的产量和质量不稳定，因此规定每2</w:t>
      </w:r>
      <w:r>
        <w:t>00</w:t>
      </w:r>
      <w:r>
        <w:rPr>
          <w:rFonts w:hint="eastAsia"/>
        </w:rPr>
        <w:t>t作为一个检验批次以确保玻璃/陶瓷再生细骨料的质量。</w:t>
      </w:r>
    </w:p>
    <w:p>
      <w:pPr>
        <w:pStyle w:val="51"/>
        <w:spacing w:before="156" w:after="156"/>
        <w:rPr>
          <w:szCs w:val="28"/>
        </w:rPr>
      </w:pPr>
      <w:r>
        <w:rPr>
          <w:rFonts w:hint="eastAsia"/>
          <w:szCs w:val="28"/>
        </w:rPr>
        <w:t>运输和储存</w:t>
      </w:r>
    </w:p>
    <w:p>
      <w:pPr>
        <w:pStyle w:val="54"/>
        <w:spacing w:line="360" w:lineRule="auto"/>
      </w:pPr>
      <w:r>
        <w:rPr>
          <w:rFonts w:hint="eastAsia" w:ascii="黑体" w:hAnsi="黑体" w:eastAsia="黑体"/>
          <w:b/>
          <w:bCs/>
        </w:rPr>
        <w:t>-</w:t>
      </w:r>
      <w:r>
        <w:rPr>
          <w:rFonts w:ascii="黑体" w:hAnsi="黑体" w:eastAsia="黑体"/>
          <w:b/>
          <w:bCs/>
        </w:rPr>
        <w:t>4.3.2</w:t>
      </w:r>
      <w:r>
        <w:rPr>
          <w:rFonts w:hint="eastAsia"/>
        </w:rPr>
        <w:t>为了避免使用时出现误用等差错，用户在储存原材料时，应在堆场或料库等储存地点设置明显的标志或专门标识，例如“玻璃再生细骨料”、“陶瓷再生细骨料”等，同时要注意排水。</w:t>
      </w:r>
    </w:p>
    <w:p>
      <w:pPr>
        <w:widowControl/>
        <w:jc w:val="left"/>
        <w:rPr>
          <w:rFonts w:hint="eastAsia" w:hAnsiTheme="minorEastAsia"/>
          <w:szCs w:val="21"/>
        </w:rPr>
      </w:pPr>
      <w:r>
        <w:br w:type="page"/>
      </w:r>
    </w:p>
    <w:p>
      <w:pPr>
        <w:pStyle w:val="24"/>
        <w:spacing w:before="156" w:after="156"/>
      </w:pPr>
      <w:r>
        <w:t>玻璃/陶瓷再生细骨料混凝土</w:t>
      </w:r>
    </w:p>
    <w:p>
      <w:pPr>
        <w:pStyle w:val="51"/>
        <w:spacing w:before="156" w:after="156"/>
        <w:rPr>
          <w:vanish/>
        </w:rPr>
      </w:pPr>
      <w:r>
        <w:rPr>
          <w:vanish/>
        </w:rPr>
        <w:t>一般规定</w:t>
      </w:r>
    </w:p>
    <w:p>
      <w:pPr>
        <w:pStyle w:val="51"/>
        <w:spacing w:before="156" w:after="156"/>
      </w:pPr>
      <w:r>
        <w:t>一般规定</w:t>
      </w:r>
    </w:p>
    <w:p>
      <w:pPr>
        <w:pStyle w:val="54"/>
        <w:spacing w:line="360" w:lineRule="auto"/>
      </w:pPr>
      <w:r>
        <w:rPr>
          <w:rFonts w:hint="eastAsia"/>
        </w:rPr>
        <w:t>通过试验及参考国内外相关研究发现，混凝土发生碱集料反应的三个条件为：（1）碱活性骨料；（2）混凝土中的碱含量过高；（3）需要水的参与。因此规定玻璃/陶瓷再生细骨料混凝土适用的环境类别为一类环境，可以有效杜绝与水的接触，从而避免混凝土的碱集料反应。</w:t>
      </w:r>
    </w:p>
    <w:p>
      <w:pPr>
        <w:pStyle w:val="54"/>
        <w:spacing w:line="360" w:lineRule="auto"/>
      </w:pPr>
      <w:r>
        <w:rPr>
          <w:rFonts w:hint="eastAsia"/>
        </w:rPr>
        <w:t>通过试验研究发现，玻璃再生细骨料混凝土在取代率为4</w:t>
      </w:r>
      <w:r>
        <w:t>0</w:t>
      </w:r>
      <w:r>
        <w:rPr>
          <w:rFonts w:hint="eastAsia"/>
        </w:rPr>
        <w:t>%时，用于C</w:t>
      </w:r>
      <w:r>
        <w:t>15-C50</w:t>
      </w:r>
      <w:r>
        <w:rPr>
          <w:rFonts w:hint="eastAsia"/>
        </w:rPr>
        <w:t>混凝土，其强度、抗渗性能、抗氯离子渗透、抗硫酸盐侵蚀、动弹性模量、抗碳化性能等指标与普通混凝土相当。但</w:t>
      </w:r>
      <w:r>
        <w:t>C30</w:t>
      </w:r>
      <w:r>
        <w:rPr>
          <w:rFonts w:hint="eastAsia"/>
        </w:rPr>
        <w:t>、C</w:t>
      </w:r>
      <w:r>
        <w:t>50</w:t>
      </w:r>
      <w:r>
        <w:rPr>
          <w:rFonts w:hint="eastAsia"/>
        </w:rPr>
        <w:t>玻璃再生细骨料混凝土2</w:t>
      </w:r>
      <w:r>
        <w:t>8</w:t>
      </w:r>
      <w:r>
        <w:rPr>
          <w:rFonts w:hint="eastAsia"/>
        </w:rPr>
        <w:t>d龄期后的收缩率明显大于普通混凝土，因此限定玻璃再生细骨料混凝土适用的强度等级为C</w:t>
      </w:r>
      <w:r>
        <w:t>25</w:t>
      </w:r>
      <w:r>
        <w:rPr>
          <w:rFonts w:hint="eastAsia"/>
        </w:rPr>
        <w:t>及以下。</w:t>
      </w:r>
    </w:p>
    <w:p>
      <w:pPr>
        <w:pStyle w:val="35"/>
        <w:spacing w:line="360" w:lineRule="auto"/>
        <w:rPr>
          <w:rFonts w:hAnsiTheme="minorEastAsia"/>
          <w:szCs w:val="21"/>
        </w:rPr>
      </w:pPr>
      <w:r>
        <w:rPr>
          <w:rFonts w:hAnsiTheme="minorEastAsia"/>
          <w:szCs w:val="21"/>
        </w:rPr>
        <w:t>通过试验研究发现，</w:t>
      </w:r>
      <w:r>
        <w:rPr>
          <w:rFonts w:hint="eastAsia" w:hAnsiTheme="minorEastAsia"/>
          <w:szCs w:val="21"/>
        </w:rPr>
        <w:t>陶瓷</w:t>
      </w:r>
      <w:r>
        <w:rPr>
          <w:rFonts w:hAnsiTheme="minorEastAsia"/>
          <w:szCs w:val="21"/>
        </w:rPr>
        <w:t>再生细骨料混凝土在取代率为30%时，用于C15-C25混凝土，其强度、抗渗性能、抗氯离子渗透、抗硫酸盐侵蚀、动弹性模量、抗碳化性能等指标与</w:t>
      </w:r>
      <w:r>
        <w:rPr>
          <w:rFonts w:hint="eastAsia" w:hAnsiTheme="minorEastAsia"/>
          <w:szCs w:val="21"/>
        </w:rPr>
        <w:t>普通</w:t>
      </w:r>
      <w:r>
        <w:rPr>
          <w:rFonts w:hAnsiTheme="minorEastAsia"/>
          <w:szCs w:val="21"/>
        </w:rPr>
        <w:t>混凝土相当。但C25陶瓷再生细骨料混凝土的收缩率明显大于</w:t>
      </w:r>
      <w:r>
        <w:rPr>
          <w:rFonts w:hint="eastAsia" w:hAnsiTheme="minorEastAsia"/>
          <w:szCs w:val="21"/>
        </w:rPr>
        <w:t>普通</w:t>
      </w:r>
      <w:r>
        <w:rPr>
          <w:rFonts w:hAnsiTheme="minorEastAsia"/>
          <w:szCs w:val="21"/>
        </w:rPr>
        <w:t>混凝土，因此限定</w:t>
      </w:r>
      <w:r>
        <w:rPr>
          <w:rFonts w:hint="eastAsia" w:hAnsiTheme="minorEastAsia"/>
          <w:szCs w:val="21"/>
        </w:rPr>
        <w:t>陶瓷</w:t>
      </w:r>
      <w:r>
        <w:rPr>
          <w:rFonts w:hAnsiTheme="minorEastAsia"/>
          <w:szCs w:val="21"/>
        </w:rPr>
        <w:t>再生细骨料混凝土适用的</w:t>
      </w:r>
      <w:r>
        <w:rPr>
          <w:rFonts w:hint="eastAsia" w:hAnsiTheme="minorEastAsia"/>
          <w:szCs w:val="21"/>
        </w:rPr>
        <w:t>强度等级</w:t>
      </w:r>
      <w:r>
        <w:rPr>
          <w:rFonts w:hAnsiTheme="minorEastAsia"/>
          <w:szCs w:val="21"/>
        </w:rPr>
        <w:t>为C20及以下。</w:t>
      </w:r>
    </w:p>
    <w:p>
      <w:pPr>
        <w:pStyle w:val="54"/>
        <w:spacing w:line="360" w:lineRule="auto"/>
      </w:pPr>
      <w:r>
        <w:rPr>
          <w:rFonts w:hint="eastAsia" w:ascii="黑体" w:hAnsi="黑体" w:eastAsia="黑体"/>
          <w:b/>
          <w:bCs/>
        </w:rPr>
        <w:t>-</w:t>
      </w:r>
      <w:r>
        <w:rPr>
          <w:rFonts w:ascii="黑体" w:hAnsi="黑体" w:eastAsia="黑体"/>
          <w:b/>
          <w:bCs/>
        </w:rPr>
        <w:t>5.1.4</w:t>
      </w:r>
      <w:r>
        <w:rPr>
          <w:rFonts w:hint="eastAsia"/>
        </w:rPr>
        <w:t>玻璃/陶瓷再生细骨料混凝土与普通混凝土的受力破坏形式接近，因此可按现行国家标准《</w:t>
      </w:r>
      <w:r>
        <w:t>混凝土物理力学性能试验方法标准</w:t>
      </w:r>
      <w:r>
        <w:rPr>
          <w:rFonts w:hint="eastAsia"/>
        </w:rPr>
        <w:t>》</w:t>
      </w:r>
      <w:r>
        <w:t>GB</w:t>
      </w:r>
      <w:r>
        <w:rPr>
          <w:rFonts w:hint="eastAsia"/>
        </w:rPr>
        <w:t>/</w:t>
      </w:r>
      <w:r>
        <w:t>T</w:t>
      </w:r>
      <w:r>
        <w:rPr>
          <w:rFonts w:hint="eastAsia"/>
        </w:rPr>
        <w:t xml:space="preserve"> </w:t>
      </w:r>
      <w:r>
        <w:t>50081</w:t>
      </w:r>
      <w:r>
        <w:rPr>
          <w:rFonts w:hint="eastAsia"/>
        </w:rPr>
        <w:t>和《混凝土结构设计规范》</w:t>
      </w:r>
      <w:r>
        <w:t>GB 50010的相关规定取值。</w:t>
      </w:r>
    </w:p>
    <w:p>
      <w:pPr>
        <w:pStyle w:val="54"/>
        <w:numPr>
          <w:ilvl w:val="0"/>
          <w:numId w:val="0"/>
        </w:numPr>
        <w:spacing w:line="360" w:lineRule="auto"/>
      </w:pPr>
      <w:r>
        <w:rPr>
          <w:rFonts w:hint="eastAsia" w:ascii="黑体" w:hAnsi="黑体" w:eastAsia="黑体"/>
          <w:b/>
          <w:bCs/>
        </w:rPr>
        <w:t>5</w:t>
      </w:r>
      <w:r>
        <w:rPr>
          <w:rFonts w:ascii="黑体" w:hAnsi="黑体" w:eastAsia="黑体"/>
          <w:b/>
          <w:bCs/>
        </w:rPr>
        <w:t>.1.5</w:t>
      </w:r>
      <w:r>
        <w:rPr>
          <w:rFonts w:hint="eastAsia"/>
        </w:rPr>
        <w:t>按照国家标准《混凝土物理力学性能试验方法标准》</w:t>
      </w:r>
      <w:r>
        <w:t>GB/T</w:t>
      </w:r>
      <w:r>
        <w:rPr>
          <w:rFonts w:hint="eastAsia"/>
        </w:rPr>
        <w:t xml:space="preserve"> </w:t>
      </w:r>
      <w:r>
        <w:t>50081规定的</w:t>
      </w:r>
      <w:r>
        <w:rPr>
          <w:rFonts w:hint="eastAsia"/>
        </w:rPr>
        <w:t>试验方法检测C</w:t>
      </w:r>
      <w:r>
        <w:t>30</w:t>
      </w:r>
      <w:r>
        <w:rPr>
          <w:rFonts w:hint="eastAsia"/>
        </w:rPr>
        <w:t>玻璃再生细骨料混凝土和C</w:t>
      </w:r>
      <w:r>
        <w:t>25</w:t>
      </w:r>
      <w:r>
        <w:rPr>
          <w:rFonts w:hint="eastAsia"/>
        </w:rPr>
        <w:t>陶瓷再生细骨料混凝土的温度线膨胀系，测试结果如表5</w:t>
      </w:r>
      <w:r>
        <w:t>.1.5</w:t>
      </w:r>
      <w:r>
        <w:rPr>
          <w:rFonts w:hint="eastAsia"/>
        </w:rPr>
        <w:t>所示，略小于普通混凝土的温度线膨胀系数10.0</w:t>
      </w:r>
      <w:r>
        <w:rPr>
          <w:rFonts w:cs="Times New Roman" w:asciiTheme="minorEastAsia" w:eastAsiaTheme="minorEastAsia"/>
        </w:rPr>
        <w:t>×10</w:t>
      </w:r>
      <w:r>
        <w:rPr>
          <w:rFonts w:cs="Times New Roman" w:asciiTheme="minorEastAsia" w:eastAsiaTheme="minorEastAsia"/>
          <w:vertAlign w:val="superscript"/>
        </w:rPr>
        <w:t>-6</w:t>
      </w:r>
      <w:r>
        <w:rPr>
          <w:rFonts w:cs="Times New Roman" w:asciiTheme="minorEastAsia" w:eastAsiaTheme="minorEastAsia"/>
        </w:rPr>
        <w:t>/℃</w:t>
      </w:r>
      <w:r>
        <w:rPr>
          <w:rFonts w:hint="eastAsia"/>
        </w:rPr>
        <w:t>。当有试验条件时，宜通过试验确定温度线膨胀系数值，若缺乏试验条件，可按表5</w:t>
      </w:r>
      <w:r>
        <w:t>.1.5</w:t>
      </w:r>
      <w:r>
        <w:rPr>
          <w:rFonts w:hint="eastAsia"/>
        </w:rPr>
        <w:t>取值。</w:t>
      </w:r>
    </w:p>
    <w:p>
      <w:pPr>
        <w:spacing w:line="400" w:lineRule="atLeast"/>
        <w:ind w:left="840" w:leftChars="200" w:hanging="420" w:hangingChars="200"/>
        <w:jc w:val="center"/>
        <w:rPr>
          <w:rFonts w:cs="Times New Roman"/>
        </w:rPr>
      </w:pPr>
      <w:r>
        <w:rPr>
          <w:rFonts w:cs="Times New Roman"/>
        </w:rPr>
        <w:t>表</w:t>
      </w:r>
      <w:r>
        <w:rPr>
          <w:rFonts w:hint="eastAsia" w:cs="Times New Roman"/>
        </w:rPr>
        <w:t>5</w:t>
      </w:r>
      <w:r>
        <w:rPr>
          <w:rFonts w:cs="Times New Roman"/>
        </w:rPr>
        <w:t>.1.5 玻璃</w:t>
      </w:r>
      <w:r>
        <w:rPr>
          <w:rFonts w:hint="eastAsia" w:cs="Times New Roman"/>
        </w:rPr>
        <w:t>/</w:t>
      </w:r>
      <w:r>
        <w:rPr>
          <w:rFonts w:cs="Times New Roman"/>
        </w:rPr>
        <w:t>陶瓷</w:t>
      </w:r>
      <w:r>
        <w:rPr>
          <w:rFonts w:hint="eastAsia" w:cs="Times New Roman"/>
        </w:rPr>
        <w:t>再生细骨料混凝土温度线膨胀系数</w:t>
      </w:r>
    </w:p>
    <w:tbl>
      <w:tblPr>
        <w:tblStyle w:val="80"/>
        <w:tblW w:w="783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2"/>
        <w:gridCol w:w="4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2" w:hRule="atLeast"/>
          <w:jc w:val="center"/>
        </w:trPr>
        <w:tc>
          <w:tcPr>
            <w:tcW w:w="3692" w:type="dxa"/>
          </w:tcPr>
          <w:p>
            <w:pPr>
              <w:spacing w:line="360" w:lineRule="exact"/>
              <w:jc w:val="center"/>
              <w:rPr>
                <w:rFonts w:cs="Times New Roman" w:asciiTheme="minorEastAsia" w:hAnsiTheme="minorEastAsia" w:eastAsiaTheme="minorEastAsia"/>
                <w:szCs w:val="21"/>
              </w:rPr>
            </w:pPr>
            <w:r>
              <w:rPr>
                <w:rFonts w:hint="eastAsia" w:cs="Times New Roman" w:asciiTheme="minorEastAsia" w:hAnsiTheme="minorEastAsia" w:eastAsiaTheme="minorEastAsia"/>
                <w:szCs w:val="21"/>
              </w:rPr>
              <w:t>类型</w:t>
            </w:r>
          </w:p>
        </w:tc>
        <w:tc>
          <w:tcPr>
            <w:tcW w:w="4145" w:type="dxa"/>
          </w:tcPr>
          <w:p>
            <w:pPr>
              <w:spacing w:line="360" w:lineRule="exact"/>
              <w:jc w:val="center"/>
              <w:rPr>
                <w:rFonts w:cs="Times New Roman" w:asciiTheme="minorEastAsia" w:hAnsiTheme="minorEastAsia" w:eastAsiaTheme="minorEastAsia"/>
                <w:szCs w:val="21"/>
              </w:rPr>
            </w:pPr>
            <w:r>
              <w:rPr>
                <w:rFonts w:cs="Times New Roman" w:asciiTheme="minorEastAsia" w:hAnsiTheme="minorEastAsia" w:eastAsiaTheme="minorEastAsia"/>
                <w:szCs w:val="21"/>
              </w:rPr>
              <w:t>温度线膨胀系数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3692" w:type="dxa"/>
          </w:tcPr>
          <w:p>
            <w:pPr>
              <w:spacing w:line="360" w:lineRule="exact"/>
              <w:jc w:val="center"/>
              <w:rPr>
                <w:rFonts w:cs="Times New Roman" w:asciiTheme="minorEastAsia" w:hAnsiTheme="minorEastAsia" w:eastAsiaTheme="minorEastAsia"/>
                <w:szCs w:val="21"/>
              </w:rPr>
            </w:pPr>
            <w:r>
              <w:rPr>
                <w:rFonts w:hint="eastAsia" w:cs="Times New Roman" w:asciiTheme="minorEastAsia" w:hAnsiTheme="minorEastAsia" w:eastAsiaTheme="minorEastAsia"/>
                <w:szCs w:val="21"/>
              </w:rPr>
              <w:t>玻璃再生细骨料混凝土</w:t>
            </w:r>
          </w:p>
        </w:tc>
        <w:tc>
          <w:tcPr>
            <w:tcW w:w="4145" w:type="dxa"/>
          </w:tcPr>
          <w:p>
            <w:pPr>
              <w:spacing w:line="360" w:lineRule="exact"/>
              <w:jc w:val="center"/>
              <w:rPr>
                <w:rFonts w:cs="Times New Roman" w:asciiTheme="minorEastAsia" w:hAnsiTheme="minorEastAsia" w:eastAsiaTheme="minorEastAsia"/>
                <w:szCs w:val="21"/>
              </w:rPr>
            </w:pPr>
            <w:r>
              <w:rPr>
                <w:rFonts w:cs="Times New Roman" w:asciiTheme="minorEastAsia" w:hAnsiTheme="minorEastAsia" w:eastAsiaTheme="minorEastAsia"/>
                <w:szCs w:val="21"/>
              </w:rPr>
              <w:t>8.7×10</w:t>
            </w:r>
            <w:r>
              <w:rPr>
                <w:rFonts w:cs="Times New Roman" w:asciiTheme="minorEastAsia" w:hAnsiTheme="minorEastAsia" w:eastAsiaTheme="minorEastAsia"/>
                <w:szCs w:val="21"/>
                <w:vertAlign w:val="superscript"/>
              </w:rPr>
              <w:t>-6</w:t>
            </w:r>
            <w:r>
              <w:rPr>
                <w:rFonts w:cs="Times New Roman" w:asciiTheme="minorEastAsia" w:hAnsiTheme="minorEastAsia" w:eastAsia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2" w:hRule="atLeast"/>
          <w:jc w:val="center"/>
        </w:trPr>
        <w:tc>
          <w:tcPr>
            <w:tcW w:w="3692" w:type="dxa"/>
          </w:tcPr>
          <w:p>
            <w:pPr>
              <w:spacing w:line="360" w:lineRule="exact"/>
              <w:jc w:val="center"/>
              <w:rPr>
                <w:rFonts w:cs="Times New Roman" w:asciiTheme="minorEastAsia" w:hAnsiTheme="minorEastAsia" w:eastAsiaTheme="minorEastAsia"/>
                <w:szCs w:val="21"/>
              </w:rPr>
            </w:pPr>
            <w:r>
              <w:rPr>
                <w:rFonts w:hint="eastAsia" w:cs="Times New Roman" w:asciiTheme="minorEastAsia" w:hAnsiTheme="minorEastAsia" w:eastAsiaTheme="minorEastAsia"/>
                <w:szCs w:val="21"/>
              </w:rPr>
              <w:t>陶瓷再生细骨料混凝土</w:t>
            </w:r>
          </w:p>
        </w:tc>
        <w:tc>
          <w:tcPr>
            <w:tcW w:w="4145" w:type="dxa"/>
          </w:tcPr>
          <w:p>
            <w:pPr>
              <w:spacing w:line="360" w:lineRule="exact"/>
              <w:jc w:val="center"/>
              <w:rPr>
                <w:rFonts w:cs="Times New Roman" w:asciiTheme="minorEastAsia" w:hAnsiTheme="minorEastAsia" w:eastAsiaTheme="minorEastAsia"/>
                <w:szCs w:val="21"/>
              </w:rPr>
            </w:pPr>
            <w:r>
              <w:rPr>
                <w:rFonts w:cs="Times New Roman" w:asciiTheme="minorEastAsia" w:hAnsiTheme="minorEastAsia" w:eastAsiaTheme="minorEastAsia"/>
                <w:szCs w:val="21"/>
              </w:rPr>
              <w:t>9.0×10</w:t>
            </w:r>
            <w:r>
              <w:rPr>
                <w:rFonts w:cs="Times New Roman" w:asciiTheme="minorEastAsia" w:hAnsiTheme="minorEastAsia" w:eastAsiaTheme="minorEastAsia"/>
                <w:szCs w:val="21"/>
                <w:vertAlign w:val="superscript"/>
              </w:rPr>
              <w:t>-6</w:t>
            </w:r>
            <w:r>
              <w:rPr>
                <w:rFonts w:cs="Times New Roman" w:asciiTheme="minorEastAsia" w:hAnsiTheme="minorEastAsia" w:eastAsiaTheme="minorEastAsia"/>
                <w:szCs w:val="21"/>
              </w:rPr>
              <w:t>/℃</w:t>
            </w:r>
          </w:p>
        </w:tc>
      </w:tr>
    </w:tbl>
    <w:p>
      <w:pPr>
        <w:pStyle w:val="54"/>
        <w:numPr>
          <w:ilvl w:val="0"/>
          <w:numId w:val="0"/>
        </w:numPr>
        <w:spacing w:line="360" w:lineRule="auto"/>
      </w:pPr>
      <w:r>
        <w:rPr>
          <w:rFonts w:hint="eastAsia" w:ascii="黑体" w:hAnsi="黑体" w:eastAsia="黑体"/>
          <w:b/>
          <w:bCs/>
        </w:rPr>
        <w:t>5</w:t>
      </w:r>
      <w:r>
        <w:rPr>
          <w:rFonts w:ascii="黑体" w:hAnsi="黑体" w:eastAsia="黑体"/>
          <w:b/>
          <w:bCs/>
        </w:rPr>
        <w:t>.1.</w:t>
      </w:r>
      <w:r>
        <w:rPr>
          <w:rFonts w:hint="eastAsia" w:ascii="黑体" w:hAnsi="黑体" w:eastAsia="黑体"/>
          <w:b/>
          <w:bCs/>
        </w:rPr>
        <w:t>6</w:t>
      </w:r>
      <w:r>
        <w:rPr>
          <w:rFonts w:hint="eastAsia" w:hAnsi="宋体"/>
        </w:rPr>
        <w:t>通过试验研究发现，玻璃再生细骨料混凝土中过高的碱含量会有潜在的碱集料反应风险。</w:t>
      </w:r>
      <w:r>
        <w:rPr>
          <w:rFonts w:hint="eastAsia"/>
        </w:rPr>
        <w:t>根据国内学者相关研究，粉煤灰和矿粉的掺入可有效抑制玻璃再生细骨料的碱集料反应，因此玻璃再生细骨料混凝土在配合比设计时宜掺入粉煤灰和矿粉。</w:t>
      </w:r>
      <w:r>
        <w:rPr>
          <w:rFonts w:hint="eastAsia" w:hAnsi="宋体"/>
        </w:rPr>
        <w:t>参照《普通混凝土配合比设计规程》JGJ 55-2011第3.0.8条规定，本规程规定，玻璃再生细骨料混凝土的碱含量不得超过</w:t>
      </w:r>
      <w:r>
        <w:rPr>
          <w:rFonts w:hint="eastAsia"/>
        </w:rPr>
        <w:t>3.0kg/m</w:t>
      </w:r>
      <w:r>
        <w:rPr>
          <w:rFonts w:hint="eastAsia"/>
          <w:vertAlign w:val="superscript"/>
        </w:rPr>
        <w:t>3</w:t>
      </w:r>
      <w:r>
        <w:rPr>
          <w:rFonts w:hint="eastAsia"/>
        </w:rPr>
        <w:t>。对于矿物掺合料碱含量，粉煤灰碱含量可取实测值的1/6，粒化高炉矿渣粉碱含量可取实测值的1/2。</w:t>
      </w:r>
    </w:p>
    <w:p>
      <w:pPr>
        <w:pStyle w:val="35"/>
        <w:spacing w:line="360" w:lineRule="auto"/>
        <w:rPr>
          <w:rFonts w:cs="Times New Roman"/>
          <w:szCs w:val="21"/>
        </w:rPr>
      </w:pPr>
      <w:r>
        <w:rPr>
          <w:rFonts w:hint="eastAsia" w:asciiTheme="minorEastAsia" w:eastAsiaTheme="minorEastAsia"/>
        </w:rPr>
        <w:t>将玻璃再生细骨料按照</w:t>
      </w:r>
      <w:r>
        <w:rPr>
          <w:rFonts w:hint="eastAsia" w:eastAsia="Times New Roman" w:cs="Times New Roman"/>
          <w:szCs w:val="21"/>
        </w:rPr>
        <w:t>《</w:t>
      </w:r>
      <w:r>
        <w:rPr>
          <w:rFonts w:hint="eastAsia"/>
        </w:rPr>
        <w:t>混凝土和砂浆用再生细骨料</w:t>
      </w:r>
      <w:r>
        <w:rPr>
          <w:rFonts w:hint="eastAsia" w:eastAsia="Times New Roman" w:cs="Times New Roman"/>
          <w:szCs w:val="21"/>
        </w:rPr>
        <w:t xml:space="preserve">》GB/T </w:t>
      </w:r>
      <w:r>
        <w:rPr>
          <w:rFonts w:hint="eastAsia" w:cs="Times New Roman" w:eastAsiaTheme="minorEastAsia"/>
          <w:szCs w:val="21"/>
        </w:rPr>
        <w:t>25176</w:t>
      </w:r>
      <w:r>
        <w:rPr>
          <w:rFonts w:hint="eastAsia" w:cs="Times New Roman"/>
          <w:szCs w:val="21"/>
        </w:rPr>
        <w:t>中规定的快速碱-硅酸反应试验方法进行碱集料反应试验，检测结果为无潜在碱-硅酸反应危害。将水泥碱含量调整到</w:t>
      </w:r>
      <w:r>
        <w:rPr>
          <w:rFonts w:cs="Times New Roman"/>
          <w:szCs w:val="21"/>
        </w:rPr>
        <w:t>1.2</w:t>
      </w:r>
      <w:r>
        <w:rPr>
          <w:rFonts w:hint="eastAsia" w:cs="Times New Roman"/>
          <w:szCs w:val="21"/>
        </w:rPr>
        <w:t>%、1</w:t>
      </w:r>
      <w:r>
        <w:rPr>
          <w:rFonts w:cs="Times New Roman"/>
          <w:szCs w:val="21"/>
        </w:rPr>
        <w:t>.8</w:t>
      </w:r>
      <w:r>
        <w:rPr>
          <w:rFonts w:hint="eastAsia" w:cs="Times New Roman"/>
          <w:szCs w:val="21"/>
        </w:rPr>
        <w:t>%、2</w:t>
      </w:r>
      <w:r>
        <w:rPr>
          <w:rFonts w:cs="Times New Roman"/>
          <w:szCs w:val="21"/>
        </w:rPr>
        <w:t>.4</w:t>
      </w:r>
      <w:r>
        <w:rPr>
          <w:rFonts w:hint="eastAsia" w:cs="Times New Roman"/>
          <w:szCs w:val="21"/>
        </w:rPr>
        <w:t>%、3</w:t>
      </w:r>
      <w:r>
        <w:rPr>
          <w:rFonts w:cs="Times New Roman"/>
          <w:szCs w:val="21"/>
        </w:rPr>
        <w:t>.0</w:t>
      </w:r>
      <w:r>
        <w:rPr>
          <w:rFonts w:hint="eastAsia" w:cs="Times New Roman"/>
          <w:szCs w:val="21"/>
        </w:rPr>
        <w:t>%，按照</w:t>
      </w:r>
      <w:r>
        <w:rPr>
          <w:rFonts w:hint="eastAsia" w:eastAsia="Times New Roman" w:cs="Times New Roman"/>
          <w:szCs w:val="21"/>
        </w:rPr>
        <w:t xml:space="preserve">GB/T </w:t>
      </w:r>
      <w:r>
        <w:rPr>
          <w:rFonts w:hint="eastAsia" w:cs="Times New Roman" w:eastAsiaTheme="minorEastAsia"/>
          <w:szCs w:val="21"/>
        </w:rPr>
        <w:t>25176规定的</w:t>
      </w:r>
      <w:r>
        <w:rPr>
          <w:rFonts w:hint="eastAsia" w:cs="Times New Roman"/>
          <w:szCs w:val="21"/>
        </w:rPr>
        <w:t>碱-硅酸反应试验方法进行碱集料反应试验，试验结果见表5</w:t>
      </w:r>
      <w:r>
        <w:rPr>
          <w:rFonts w:cs="Times New Roman"/>
          <w:szCs w:val="21"/>
        </w:rPr>
        <w:t>.1.</w:t>
      </w:r>
      <w:r>
        <w:rPr>
          <w:rFonts w:hint="eastAsia" w:cs="Times New Roman"/>
          <w:szCs w:val="21"/>
        </w:rPr>
        <w:t>6。</w:t>
      </w:r>
    </w:p>
    <w:p>
      <w:pPr>
        <w:pStyle w:val="35"/>
        <w:spacing w:line="360" w:lineRule="auto"/>
        <w:ind w:firstLine="0" w:firstLineChars="0"/>
        <w:jc w:val="center"/>
        <w:rPr>
          <w:rFonts w:cs="Times New Roman"/>
          <w:szCs w:val="21"/>
        </w:rPr>
      </w:pPr>
      <w:r>
        <w:rPr>
          <w:rFonts w:hint="eastAsia" w:cs="Times New Roman"/>
          <w:szCs w:val="21"/>
        </w:rPr>
        <w:t>表5</w:t>
      </w:r>
      <w:r>
        <w:rPr>
          <w:rFonts w:cs="Times New Roman"/>
          <w:szCs w:val="21"/>
        </w:rPr>
        <w:t>.1.</w:t>
      </w:r>
      <w:r>
        <w:rPr>
          <w:rFonts w:hint="eastAsia" w:cs="Times New Roman"/>
          <w:szCs w:val="21"/>
        </w:rPr>
        <w:t>6玻璃再生细骨料碱集料反应试验结果</w:t>
      </w:r>
    </w:p>
    <w:tbl>
      <w:tblPr>
        <w:tblStyle w:val="80"/>
        <w:tblW w:w="83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275"/>
        <w:gridCol w:w="1985"/>
        <w:gridCol w:w="2126"/>
        <w:gridCol w:w="18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exact"/>
        </w:trPr>
        <w:tc>
          <w:tcPr>
            <w:tcW w:w="1101" w:type="dxa"/>
            <w:vMerge w:val="restart"/>
            <w:vAlign w:val="center"/>
          </w:tcPr>
          <w:p>
            <w:pPr>
              <w:widowControl/>
              <w:spacing w:before="100" w:beforeAutospacing="1" w:after="100" w:afterAutospacing="1"/>
              <w:jc w:val="center"/>
              <w:rPr>
                <w:rFonts w:cs="宋体" w:asciiTheme="minorEastAsia" w:hAnsiTheme="minorEastAsia" w:eastAsiaTheme="minorEastAsia"/>
                <w:kern w:val="0"/>
                <w:szCs w:val="21"/>
              </w:rPr>
            </w:pPr>
            <w:r>
              <w:rPr>
                <w:rFonts w:cs="宋体" w:asciiTheme="minorEastAsia" w:hAnsiTheme="minorEastAsia" w:eastAsiaTheme="minorEastAsia"/>
                <w:kern w:val="0"/>
                <w:szCs w:val="21"/>
              </w:rPr>
              <w:t>水泥碱含量/%</w:t>
            </w:r>
          </w:p>
        </w:tc>
        <w:tc>
          <w:tcPr>
            <w:tcW w:w="1275" w:type="dxa"/>
            <w:vMerge w:val="restart"/>
            <w:vAlign w:val="center"/>
          </w:tcPr>
          <w:p>
            <w:pPr>
              <w:widowControl/>
              <w:spacing w:before="100" w:beforeAutospacing="1" w:after="100" w:afterAutospacing="1"/>
              <w:jc w:val="center"/>
              <w:rPr>
                <w:rFonts w:cs="宋体" w:asciiTheme="minorEastAsia" w:hAnsiTheme="minorEastAsia" w:eastAsiaTheme="minorEastAsia"/>
                <w:kern w:val="0"/>
                <w:szCs w:val="21"/>
              </w:rPr>
            </w:pPr>
            <w:r>
              <w:rPr>
                <w:rFonts w:cs="宋体" w:asciiTheme="minorEastAsia" w:hAnsiTheme="minorEastAsia" w:eastAsiaTheme="minorEastAsia"/>
                <w:kern w:val="0"/>
                <w:szCs w:val="21"/>
              </w:rPr>
              <w:t>技术要求</w:t>
            </w:r>
          </w:p>
        </w:tc>
        <w:tc>
          <w:tcPr>
            <w:tcW w:w="4111" w:type="dxa"/>
            <w:gridSpan w:val="2"/>
            <w:vAlign w:val="center"/>
          </w:tcPr>
          <w:p>
            <w:pPr>
              <w:widowControl/>
              <w:spacing w:before="100" w:beforeAutospacing="1" w:after="100" w:afterAutospacing="1"/>
              <w:jc w:val="center"/>
              <w:rPr>
                <w:rFonts w:cs="宋体" w:asciiTheme="minorEastAsia" w:hAnsiTheme="minorEastAsia" w:eastAsiaTheme="minorEastAsia"/>
                <w:kern w:val="0"/>
                <w:szCs w:val="21"/>
              </w:rPr>
            </w:pPr>
            <w:r>
              <w:rPr>
                <w:rFonts w:cs="宋体" w:asciiTheme="minorEastAsia" w:hAnsiTheme="minorEastAsia" w:eastAsiaTheme="minorEastAsia"/>
                <w:kern w:val="0"/>
                <w:szCs w:val="21"/>
              </w:rPr>
              <w:t>检测结果</w:t>
            </w:r>
          </w:p>
        </w:tc>
        <w:tc>
          <w:tcPr>
            <w:tcW w:w="1894" w:type="dxa"/>
          </w:tcPr>
          <w:p>
            <w:pPr>
              <w:widowControl/>
              <w:spacing w:before="100" w:beforeAutospacing="1" w:after="100" w:afterAutospacing="1"/>
              <w:jc w:val="center"/>
              <w:rPr>
                <w:rFonts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exact"/>
        </w:trPr>
        <w:tc>
          <w:tcPr>
            <w:tcW w:w="1101" w:type="dxa"/>
            <w:vMerge w:val="continue"/>
            <w:vAlign w:val="center"/>
          </w:tcPr>
          <w:p>
            <w:pPr>
              <w:widowControl/>
              <w:jc w:val="center"/>
              <w:rPr>
                <w:rFonts w:cs="宋体" w:asciiTheme="minorEastAsia" w:hAnsiTheme="minorEastAsia" w:eastAsiaTheme="minorEastAsia"/>
                <w:kern w:val="0"/>
                <w:szCs w:val="21"/>
              </w:rPr>
            </w:pPr>
          </w:p>
        </w:tc>
        <w:tc>
          <w:tcPr>
            <w:tcW w:w="1275" w:type="dxa"/>
            <w:vMerge w:val="continue"/>
            <w:vAlign w:val="center"/>
          </w:tcPr>
          <w:p>
            <w:pPr>
              <w:widowControl/>
              <w:jc w:val="center"/>
              <w:rPr>
                <w:rFonts w:cs="宋体" w:asciiTheme="minorEastAsia" w:hAnsiTheme="minorEastAsia" w:eastAsiaTheme="minorEastAsia"/>
                <w:kern w:val="0"/>
                <w:szCs w:val="21"/>
              </w:rPr>
            </w:pPr>
          </w:p>
        </w:tc>
        <w:tc>
          <w:tcPr>
            <w:tcW w:w="1985" w:type="dxa"/>
            <w:vAlign w:val="center"/>
          </w:tcPr>
          <w:p>
            <w:pPr>
              <w:widowControl/>
              <w:spacing w:before="100" w:beforeAutospacing="1" w:after="100" w:afterAutospacing="1"/>
              <w:jc w:val="center"/>
              <w:rPr>
                <w:rFonts w:cs="宋体" w:asciiTheme="minorEastAsia" w:hAnsiTheme="minorEastAsia" w:eastAsiaTheme="minorEastAsia"/>
                <w:kern w:val="0"/>
                <w:szCs w:val="21"/>
              </w:rPr>
            </w:pPr>
            <w:r>
              <w:rPr>
                <w:rFonts w:cs="宋体" w:asciiTheme="minorEastAsia" w:hAnsiTheme="minorEastAsia" w:eastAsiaTheme="minorEastAsia"/>
                <w:kern w:val="0"/>
                <w:szCs w:val="21"/>
              </w:rPr>
              <w:t>14d</w:t>
            </w:r>
          </w:p>
        </w:tc>
        <w:tc>
          <w:tcPr>
            <w:tcW w:w="2126" w:type="dxa"/>
            <w:vAlign w:val="center"/>
          </w:tcPr>
          <w:p>
            <w:pPr>
              <w:widowControl/>
              <w:spacing w:before="100" w:beforeAutospacing="1" w:after="100" w:afterAutospacing="1"/>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28d</w:t>
            </w:r>
          </w:p>
        </w:tc>
        <w:tc>
          <w:tcPr>
            <w:tcW w:w="1894" w:type="dxa"/>
          </w:tcPr>
          <w:p>
            <w:pPr>
              <w:widowControl/>
              <w:spacing w:before="100" w:beforeAutospacing="1" w:after="100" w:afterAutospacing="1"/>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56d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exact"/>
        </w:trPr>
        <w:tc>
          <w:tcPr>
            <w:tcW w:w="1101" w:type="dxa"/>
            <w:vMerge w:val="restart"/>
            <w:vAlign w:val="center"/>
          </w:tcPr>
          <w:p>
            <w:pPr>
              <w:widowControl/>
              <w:spacing w:before="100" w:beforeAutospacing="1" w:after="100" w:afterAutospacing="1"/>
              <w:jc w:val="center"/>
              <w:rPr>
                <w:rFonts w:cs="宋体" w:asciiTheme="minorEastAsia" w:hAnsiTheme="minorEastAsia" w:eastAsiaTheme="minorEastAsia"/>
                <w:kern w:val="0"/>
                <w:szCs w:val="21"/>
              </w:rPr>
            </w:pPr>
            <w:r>
              <w:rPr>
                <w:rFonts w:cs="宋体" w:asciiTheme="minorEastAsia" w:hAnsiTheme="minorEastAsia" w:eastAsiaTheme="minorEastAsia"/>
                <w:kern w:val="0"/>
                <w:szCs w:val="21"/>
              </w:rPr>
              <w:t>1.2</w:t>
            </w:r>
          </w:p>
        </w:tc>
        <w:tc>
          <w:tcPr>
            <w:tcW w:w="1275" w:type="dxa"/>
            <w:vAlign w:val="center"/>
          </w:tcPr>
          <w:p>
            <w:pPr>
              <w:widowControl/>
              <w:spacing w:before="100" w:beforeAutospacing="1" w:after="100" w:afterAutospacing="1"/>
              <w:jc w:val="center"/>
              <w:rPr>
                <w:rFonts w:cs="宋体" w:asciiTheme="minorEastAsia" w:hAnsiTheme="minorEastAsia" w:eastAsiaTheme="minorEastAsia"/>
                <w:kern w:val="0"/>
                <w:szCs w:val="21"/>
              </w:rPr>
            </w:pPr>
            <w:r>
              <w:rPr>
                <w:rFonts w:cs="宋体" w:asciiTheme="minorEastAsia" w:hAnsiTheme="minorEastAsia" w:eastAsiaTheme="minorEastAsia"/>
                <w:kern w:val="0"/>
                <w:szCs w:val="21"/>
              </w:rPr>
              <w:t>试件外观</w:t>
            </w:r>
          </w:p>
        </w:tc>
        <w:tc>
          <w:tcPr>
            <w:tcW w:w="1985" w:type="dxa"/>
            <w:vAlign w:val="center"/>
          </w:tcPr>
          <w:p>
            <w:pPr>
              <w:widowControl/>
              <w:spacing w:before="100" w:beforeAutospacing="1" w:after="100" w:afterAutospacing="1"/>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无异常</w:t>
            </w:r>
          </w:p>
        </w:tc>
        <w:tc>
          <w:tcPr>
            <w:tcW w:w="2126" w:type="dxa"/>
            <w:vAlign w:val="center"/>
          </w:tcPr>
          <w:p>
            <w:pPr>
              <w:widowControl/>
              <w:spacing w:before="100" w:beforeAutospacing="1" w:after="100" w:afterAutospacing="1"/>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无异常</w:t>
            </w:r>
          </w:p>
        </w:tc>
        <w:tc>
          <w:tcPr>
            <w:tcW w:w="1894" w:type="dxa"/>
          </w:tcPr>
          <w:p>
            <w:pPr>
              <w:widowControl/>
              <w:spacing w:before="100" w:beforeAutospacing="1" w:after="100" w:afterAutospacing="1"/>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无异常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exact"/>
        </w:trPr>
        <w:tc>
          <w:tcPr>
            <w:tcW w:w="1101" w:type="dxa"/>
            <w:vMerge w:val="continue"/>
            <w:vAlign w:val="center"/>
          </w:tcPr>
          <w:p>
            <w:pPr>
              <w:widowControl/>
              <w:jc w:val="center"/>
              <w:rPr>
                <w:rFonts w:cs="宋体" w:asciiTheme="minorEastAsia" w:hAnsiTheme="minorEastAsia" w:eastAsiaTheme="minorEastAsia"/>
                <w:kern w:val="0"/>
                <w:szCs w:val="21"/>
              </w:rPr>
            </w:pPr>
          </w:p>
        </w:tc>
        <w:tc>
          <w:tcPr>
            <w:tcW w:w="1275" w:type="dxa"/>
            <w:vAlign w:val="center"/>
          </w:tcPr>
          <w:p>
            <w:pPr>
              <w:widowControl/>
              <w:spacing w:before="100" w:beforeAutospacing="1" w:after="100" w:afterAutospacing="1"/>
              <w:jc w:val="center"/>
              <w:rPr>
                <w:rFonts w:cs="宋体" w:asciiTheme="minorEastAsia" w:hAnsiTheme="minorEastAsia" w:eastAsiaTheme="minorEastAsia"/>
                <w:kern w:val="0"/>
                <w:szCs w:val="21"/>
              </w:rPr>
            </w:pPr>
            <w:r>
              <w:rPr>
                <w:rFonts w:cs="宋体" w:asciiTheme="minorEastAsia" w:hAnsiTheme="minorEastAsia" w:eastAsiaTheme="minorEastAsia"/>
                <w:kern w:val="0"/>
                <w:szCs w:val="21"/>
              </w:rPr>
              <w:t>膨胀率,%</w:t>
            </w:r>
          </w:p>
        </w:tc>
        <w:tc>
          <w:tcPr>
            <w:tcW w:w="1985" w:type="dxa"/>
            <w:vAlign w:val="center"/>
          </w:tcPr>
          <w:p>
            <w:pPr>
              <w:widowControl/>
              <w:spacing w:before="100" w:beforeAutospacing="1" w:after="100" w:afterAutospacing="1"/>
              <w:jc w:val="center"/>
              <w:rPr>
                <w:rFonts w:cs="宋体" w:asciiTheme="minorEastAsia" w:hAnsiTheme="minorEastAsia" w:eastAsiaTheme="minorEastAsia"/>
                <w:kern w:val="0"/>
                <w:szCs w:val="21"/>
              </w:rPr>
            </w:pPr>
            <w:r>
              <w:rPr>
                <w:rFonts w:cs="宋体" w:asciiTheme="minorEastAsia" w:hAnsiTheme="minorEastAsia" w:eastAsiaTheme="minorEastAsia"/>
                <w:kern w:val="0"/>
                <w:szCs w:val="21"/>
              </w:rPr>
              <w:t>0.01</w:t>
            </w:r>
          </w:p>
        </w:tc>
        <w:tc>
          <w:tcPr>
            <w:tcW w:w="2126" w:type="dxa"/>
            <w:vAlign w:val="center"/>
          </w:tcPr>
          <w:p>
            <w:pPr>
              <w:widowControl/>
              <w:spacing w:before="100" w:beforeAutospacing="1" w:after="100" w:afterAutospacing="1"/>
              <w:jc w:val="center"/>
              <w:rPr>
                <w:rFonts w:cs="宋体" w:asciiTheme="minorEastAsia" w:hAnsiTheme="minorEastAsia" w:eastAsiaTheme="minorEastAsia"/>
                <w:kern w:val="0"/>
                <w:szCs w:val="21"/>
              </w:rPr>
            </w:pPr>
            <w:r>
              <w:rPr>
                <w:rFonts w:cs="宋体" w:asciiTheme="minorEastAsia" w:hAnsiTheme="minorEastAsia" w:eastAsiaTheme="minorEastAsia"/>
                <w:kern w:val="0"/>
                <w:szCs w:val="21"/>
              </w:rPr>
              <w:t>0.01</w:t>
            </w:r>
          </w:p>
        </w:tc>
        <w:tc>
          <w:tcPr>
            <w:tcW w:w="1894" w:type="dxa"/>
          </w:tcPr>
          <w:p>
            <w:pPr>
              <w:widowControl/>
              <w:spacing w:before="100" w:beforeAutospacing="1" w:after="100" w:afterAutospacing="1"/>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0</w:t>
            </w:r>
            <w:r>
              <w:rPr>
                <w:rFonts w:cs="宋体" w:asciiTheme="minorEastAsia" w:hAnsiTheme="minorEastAsia" w:eastAsiaTheme="minorEastAsia"/>
                <w:kern w:val="0"/>
                <w:szCs w:val="21"/>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exact"/>
        </w:trPr>
        <w:tc>
          <w:tcPr>
            <w:tcW w:w="1101" w:type="dxa"/>
            <w:vMerge w:val="restart"/>
            <w:vAlign w:val="center"/>
          </w:tcPr>
          <w:p>
            <w:pPr>
              <w:widowControl/>
              <w:spacing w:before="100" w:beforeAutospacing="1" w:after="100" w:afterAutospacing="1"/>
              <w:jc w:val="center"/>
              <w:rPr>
                <w:rFonts w:cs="宋体" w:asciiTheme="minorEastAsia" w:hAnsiTheme="minorEastAsia" w:eastAsiaTheme="minorEastAsia"/>
                <w:kern w:val="0"/>
                <w:szCs w:val="21"/>
              </w:rPr>
            </w:pPr>
            <w:r>
              <w:rPr>
                <w:rFonts w:cs="宋体" w:asciiTheme="minorEastAsia" w:hAnsiTheme="minorEastAsia" w:eastAsiaTheme="minorEastAsia"/>
                <w:kern w:val="0"/>
                <w:szCs w:val="21"/>
              </w:rPr>
              <w:t>1.8</w:t>
            </w:r>
          </w:p>
        </w:tc>
        <w:tc>
          <w:tcPr>
            <w:tcW w:w="1275" w:type="dxa"/>
            <w:vAlign w:val="center"/>
          </w:tcPr>
          <w:p>
            <w:pPr>
              <w:widowControl/>
              <w:spacing w:before="100" w:beforeAutospacing="1" w:after="100" w:afterAutospacing="1"/>
              <w:jc w:val="center"/>
              <w:rPr>
                <w:rFonts w:cs="宋体" w:asciiTheme="minorEastAsia" w:hAnsiTheme="minorEastAsia" w:eastAsiaTheme="minorEastAsia"/>
                <w:kern w:val="0"/>
                <w:szCs w:val="21"/>
              </w:rPr>
            </w:pPr>
            <w:r>
              <w:rPr>
                <w:rFonts w:cs="宋体" w:asciiTheme="minorEastAsia" w:hAnsiTheme="minorEastAsia" w:eastAsiaTheme="minorEastAsia"/>
                <w:kern w:val="0"/>
                <w:szCs w:val="21"/>
              </w:rPr>
              <w:t>试件外观</w:t>
            </w:r>
          </w:p>
        </w:tc>
        <w:tc>
          <w:tcPr>
            <w:tcW w:w="1985" w:type="dxa"/>
            <w:vAlign w:val="center"/>
          </w:tcPr>
          <w:p>
            <w:pPr>
              <w:widowControl/>
              <w:spacing w:before="100" w:beforeAutospacing="1" w:after="100" w:afterAutospacing="1"/>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无异常</w:t>
            </w:r>
          </w:p>
        </w:tc>
        <w:tc>
          <w:tcPr>
            <w:tcW w:w="2126" w:type="dxa"/>
            <w:vAlign w:val="center"/>
          </w:tcPr>
          <w:p>
            <w:pPr>
              <w:widowControl/>
              <w:spacing w:before="100" w:beforeAutospacing="1" w:after="100" w:afterAutospacing="1"/>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无异常</w:t>
            </w:r>
          </w:p>
        </w:tc>
        <w:tc>
          <w:tcPr>
            <w:tcW w:w="1894" w:type="dxa"/>
          </w:tcPr>
          <w:p>
            <w:pPr>
              <w:widowControl/>
              <w:spacing w:before="100" w:beforeAutospacing="1" w:after="100" w:afterAutospacing="1"/>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有胶体外溢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exact"/>
        </w:trPr>
        <w:tc>
          <w:tcPr>
            <w:tcW w:w="1101" w:type="dxa"/>
            <w:vMerge w:val="continue"/>
            <w:vAlign w:val="center"/>
          </w:tcPr>
          <w:p>
            <w:pPr>
              <w:widowControl/>
              <w:jc w:val="center"/>
              <w:rPr>
                <w:rFonts w:cs="宋体" w:asciiTheme="minorEastAsia" w:hAnsiTheme="minorEastAsia" w:eastAsiaTheme="minorEastAsia"/>
                <w:kern w:val="0"/>
                <w:szCs w:val="21"/>
              </w:rPr>
            </w:pPr>
          </w:p>
        </w:tc>
        <w:tc>
          <w:tcPr>
            <w:tcW w:w="1275" w:type="dxa"/>
            <w:vAlign w:val="center"/>
          </w:tcPr>
          <w:p>
            <w:pPr>
              <w:widowControl/>
              <w:spacing w:before="100" w:beforeAutospacing="1" w:after="100" w:afterAutospacing="1"/>
              <w:jc w:val="center"/>
              <w:rPr>
                <w:rFonts w:cs="宋体" w:asciiTheme="minorEastAsia" w:hAnsiTheme="minorEastAsia" w:eastAsiaTheme="minorEastAsia"/>
                <w:kern w:val="0"/>
                <w:szCs w:val="21"/>
              </w:rPr>
            </w:pPr>
            <w:r>
              <w:rPr>
                <w:rFonts w:cs="宋体" w:asciiTheme="minorEastAsia" w:hAnsiTheme="minorEastAsia" w:eastAsiaTheme="minorEastAsia"/>
                <w:kern w:val="0"/>
                <w:szCs w:val="21"/>
              </w:rPr>
              <w:t>膨胀率,%</w:t>
            </w:r>
          </w:p>
        </w:tc>
        <w:tc>
          <w:tcPr>
            <w:tcW w:w="1985" w:type="dxa"/>
            <w:vAlign w:val="center"/>
          </w:tcPr>
          <w:p>
            <w:pPr>
              <w:widowControl/>
              <w:spacing w:before="100" w:beforeAutospacing="1" w:after="100" w:afterAutospacing="1"/>
              <w:jc w:val="center"/>
              <w:rPr>
                <w:rFonts w:cs="宋体" w:asciiTheme="minorEastAsia" w:hAnsiTheme="minorEastAsia" w:eastAsiaTheme="minorEastAsia"/>
                <w:kern w:val="0"/>
                <w:szCs w:val="21"/>
              </w:rPr>
            </w:pPr>
            <w:r>
              <w:rPr>
                <w:rFonts w:cs="宋体" w:asciiTheme="minorEastAsia" w:hAnsiTheme="minorEastAsia" w:eastAsiaTheme="minorEastAsia"/>
                <w:kern w:val="0"/>
                <w:szCs w:val="21"/>
              </w:rPr>
              <w:t>0.02</w:t>
            </w:r>
          </w:p>
        </w:tc>
        <w:tc>
          <w:tcPr>
            <w:tcW w:w="2126" w:type="dxa"/>
            <w:vAlign w:val="center"/>
          </w:tcPr>
          <w:p>
            <w:pPr>
              <w:widowControl/>
              <w:spacing w:before="100" w:beforeAutospacing="1" w:after="100" w:afterAutospacing="1"/>
              <w:jc w:val="center"/>
              <w:rPr>
                <w:rFonts w:cs="宋体" w:asciiTheme="minorEastAsia" w:hAnsiTheme="minorEastAsia" w:eastAsiaTheme="minorEastAsia"/>
                <w:kern w:val="0"/>
                <w:szCs w:val="21"/>
              </w:rPr>
            </w:pPr>
            <w:r>
              <w:rPr>
                <w:rFonts w:cs="宋体" w:asciiTheme="minorEastAsia" w:hAnsiTheme="minorEastAsia" w:eastAsiaTheme="minorEastAsia"/>
                <w:kern w:val="0"/>
                <w:szCs w:val="21"/>
              </w:rPr>
              <w:t>0.02</w:t>
            </w:r>
          </w:p>
        </w:tc>
        <w:tc>
          <w:tcPr>
            <w:tcW w:w="1894" w:type="dxa"/>
          </w:tcPr>
          <w:p>
            <w:pPr>
              <w:widowControl/>
              <w:spacing w:before="100" w:beforeAutospacing="1" w:after="100" w:afterAutospacing="1"/>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0</w:t>
            </w:r>
            <w:r>
              <w:rPr>
                <w:rFonts w:cs="宋体" w:asciiTheme="minorEastAsia" w:hAnsiTheme="minorEastAsia" w:eastAsiaTheme="minorEastAsia"/>
                <w:kern w:val="0"/>
                <w:szCs w:val="21"/>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exact"/>
        </w:trPr>
        <w:tc>
          <w:tcPr>
            <w:tcW w:w="1101" w:type="dxa"/>
            <w:vMerge w:val="restart"/>
            <w:vAlign w:val="center"/>
          </w:tcPr>
          <w:p>
            <w:pPr>
              <w:widowControl/>
              <w:spacing w:before="100" w:beforeAutospacing="1" w:after="100" w:afterAutospacing="1"/>
              <w:jc w:val="center"/>
              <w:rPr>
                <w:rFonts w:cs="宋体" w:asciiTheme="minorEastAsia" w:hAnsiTheme="minorEastAsia" w:eastAsiaTheme="minorEastAsia"/>
                <w:kern w:val="0"/>
                <w:szCs w:val="21"/>
              </w:rPr>
            </w:pPr>
            <w:r>
              <w:rPr>
                <w:rFonts w:cs="宋体" w:asciiTheme="minorEastAsia" w:hAnsiTheme="minorEastAsia" w:eastAsiaTheme="minorEastAsia"/>
                <w:kern w:val="0"/>
                <w:szCs w:val="21"/>
              </w:rPr>
              <w:t>2.4</w:t>
            </w:r>
          </w:p>
        </w:tc>
        <w:tc>
          <w:tcPr>
            <w:tcW w:w="1275" w:type="dxa"/>
            <w:vAlign w:val="center"/>
          </w:tcPr>
          <w:p>
            <w:pPr>
              <w:widowControl/>
              <w:spacing w:before="100" w:beforeAutospacing="1" w:after="100" w:afterAutospacing="1"/>
              <w:jc w:val="center"/>
              <w:rPr>
                <w:rFonts w:cs="宋体" w:asciiTheme="minorEastAsia" w:hAnsiTheme="minorEastAsia" w:eastAsiaTheme="minorEastAsia"/>
                <w:kern w:val="0"/>
                <w:szCs w:val="21"/>
              </w:rPr>
            </w:pPr>
            <w:r>
              <w:rPr>
                <w:rFonts w:cs="宋体" w:asciiTheme="minorEastAsia" w:hAnsiTheme="minorEastAsia" w:eastAsiaTheme="minorEastAsia"/>
                <w:kern w:val="0"/>
                <w:szCs w:val="21"/>
              </w:rPr>
              <w:t>试件外观</w:t>
            </w:r>
          </w:p>
        </w:tc>
        <w:tc>
          <w:tcPr>
            <w:tcW w:w="1985" w:type="dxa"/>
            <w:vAlign w:val="center"/>
          </w:tcPr>
          <w:p>
            <w:pPr>
              <w:widowControl/>
              <w:spacing w:before="100" w:beforeAutospacing="1" w:after="100" w:afterAutospacing="1"/>
              <w:jc w:val="center"/>
              <w:rPr>
                <w:rFonts w:cs="宋体" w:asciiTheme="minorEastAsia" w:hAnsiTheme="minorEastAsia" w:eastAsiaTheme="minorEastAsia"/>
                <w:kern w:val="0"/>
                <w:szCs w:val="21"/>
              </w:rPr>
            </w:pPr>
            <w:r>
              <w:rPr>
                <w:rFonts w:cs="宋体" w:asciiTheme="minorEastAsia" w:hAnsiTheme="minorEastAsia" w:eastAsiaTheme="minorEastAsia"/>
                <w:kern w:val="0"/>
                <w:szCs w:val="21"/>
              </w:rPr>
              <w:t>有胶体外溢</w:t>
            </w:r>
          </w:p>
        </w:tc>
        <w:tc>
          <w:tcPr>
            <w:tcW w:w="2126" w:type="dxa"/>
            <w:vAlign w:val="center"/>
          </w:tcPr>
          <w:p>
            <w:pPr>
              <w:widowControl/>
              <w:spacing w:before="100" w:beforeAutospacing="1" w:after="100" w:afterAutospacing="1"/>
              <w:jc w:val="center"/>
              <w:rPr>
                <w:rFonts w:cs="宋体" w:asciiTheme="minorEastAsia" w:hAnsiTheme="minorEastAsia" w:eastAsiaTheme="minorEastAsia"/>
                <w:kern w:val="0"/>
                <w:szCs w:val="21"/>
              </w:rPr>
            </w:pPr>
            <w:r>
              <w:rPr>
                <w:rFonts w:cs="宋体" w:asciiTheme="minorEastAsia" w:hAnsiTheme="minorEastAsia" w:eastAsiaTheme="minorEastAsia"/>
                <w:kern w:val="0"/>
                <w:szCs w:val="21"/>
              </w:rPr>
              <w:t>有胶体外溢</w:t>
            </w:r>
          </w:p>
        </w:tc>
        <w:tc>
          <w:tcPr>
            <w:tcW w:w="1894" w:type="dxa"/>
          </w:tcPr>
          <w:p>
            <w:pPr>
              <w:widowControl/>
              <w:spacing w:before="100" w:beforeAutospacing="1" w:after="100" w:afterAutospacing="1"/>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有胶体外溢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exact"/>
        </w:trPr>
        <w:tc>
          <w:tcPr>
            <w:tcW w:w="1101" w:type="dxa"/>
            <w:vMerge w:val="continue"/>
            <w:vAlign w:val="center"/>
          </w:tcPr>
          <w:p>
            <w:pPr>
              <w:widowControl/>
              <w:jc w:val="center"/>
              <w:rPr>
                <w:rFonts w:cs="宋体" w:asciiTheme="minorEastAsia" w:hAnsiTheme="minorEastAsia" w:eastAsiaTheme="minorEastAsia"/>
                <w:kern w:val="0"/>
                <w:szCs w:val="21"/>
              </w:rPr>
            </w:pPr>
          </w:p>
        </w:tc>
        <w:tc>
          <w:tcPr>
            <w:tcW w:w="1275" w:type="dxa"/>
            <w:vAlign w:val="center"/>
          </w:tcPr>
          <w:p>
            <w:pPr>
              <w:widowControl/>
              <w:spacing w:before="100" w:beforeAutospacing="1" w:after="100" w:afterAutospacing="1"/>
              <w:jc w:val="center"/>
              <w:rPr>
                <w:rFonts w:cs="宋体" w:asciiTheme="minorEastAsia" w:hAnsiTheme="minorEastAsia" w:eastAsiaTheme="minorEastAsia"/>
                <w:kern w:val="0"/>
                <w:szCs w:val="21"/>
              </w:rPr>
            </w:pPr>
            <w:r>
              <w:rPr>
                <w:rFonts w:cs="宋体" w:asciiTheme="minorEastAsia" w:hAnsiTheme="minorEastAsia" w:eastAsiaTheme="minorEastAsia"/>
                <w:kern w:val="0"/>
                <w:szCs w:val="21"/>
              </w:rPr>
              <w:t>膨胀率,%</w:t>
            </w:r>
          </w:p>
        </w:tc>
        <w:tc>
          <w:tcPr>
            <w:tcW w:w="1985" w:type="dxa"/>
            <w:vAlign w:val="center"/>
          </w:tcPr>
          <w:p>
            <w:pPr>
              <w:widowControl/>
              <w:spacing w:before="100" w:beforeAutospacing="1" w:after="100" w:afterAutospacing="1"/>
              <w:jc w:val="center"/>
              <w:rPr>
                <w:rFonts w:cs="宋体" w:asciiTheme="minorEastAsia" w:hAnsiTheme="minorEastAsia" w:eastAsiaTheme="minorEastAsia"/>
                <w:kern w:val="0"/>
                <w:szCs w:val="21"/>
              </w:rPr>
            </w:pPr>
            <w:r>
              <w:rPr>
                <w:rFonts w:cs="宋体" w:asciiTheme="minorEastAsia" w:hAnsiTheme="minorEastAsia" w:eastAsiaTheme="minorEastAsia"/>
                <w:kern w:val="0"/>
                <w:szCs w:val="21"/>
              </w:rPr>
              <w:t>0.06</w:t>
            </w:r>
          </w:p>
        </w:tc>
        <w:tc>
          <w:tcPr>
            <w:tcW w:w="2126" w:type="dxa"/>
            <w:vAlign w:val="center"/>
          </w:tcPr>
          <w:p>
            <w:pPr>
              <w:widowControl/>
              <w:spacing w:before="100" w:beforeAutospacing="1" w:after="100" w:afterAutospacing="1"/>
              <w:jc w:val="center"/>
              <w:rPr>
                <w:rFonts w:cs="宋体" w:asciiTheme="minorEastAsia" w:hAnsiTheme="minorEastAsia" w:eastAsiaTheme="minorEastAsia"/>
                <w:kern w:val="0"/>
                <w:szCs w:val="21"/>
              </w:rPr>
            </w:pPr>
            <w:r>
              <w:rPr>
                <w:rFonts w:cs="宋体" w:asciiTheme="minorEastAsia" w:hAnsiTheme="minorEastAsia" w:eastAsiaTheme="minorEastAsia"/>
                <w:kern w:val="0"/>
                <w:szCs w:val="21"/>
              </w:rPr>
              <w:t>0.07</w:t>
            </w:r>
          </w:p>
        </w:tc>
        <w:tc>
          <w:tcPr>
            <w:tcW w:w="1894" w:type="dxa"/>
          </w:tcPr>
          <w:p>
            <w:pPr>
              <w:widowControl/>
              <w:spacing w:before="100" w:beforeAutospacing="1" w:after="100" w:afterAutospacing="1"/>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0</w:t>
            </w:r>
            <w:r>
              <w:rPr>
                <w:rFonts w:cs="宋体" w:asciiTheme="minorEastAsia" w:hAnsiTheme="minorEastAsia" w:eastAsiaTheme="minorEastAsia"/>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exact"/>
        </w:trPr>
        <w:tc>
          <w:tcPr>
            <w:tcW w:w="1101" w:type="dxa"/>
            <w:vMerge w:val="restart"/>
            <w:vAlign w:val="center"/>
          </w:tcPr>
          <w:p>
            <w:pPr>
              <w:widowControl/>
              <w:spacing w:before="100" w:beforeAutospacing="1" w:after="100" w:afterAutospacing="1"/>
              <w:jc w:val="center"/>
              <w:rPr>
                <w:rFonts w:cs="宋体" w:asciiTheme="minorEastAsia" w:hAnsiTheme="minorEastAsia" w:eastAsiaTheme="minorEastAsia"/>
                <w:kern w:val="0"/>
                <w:szCs w:val="21"/>
              </w:rPr>
            </w:pPr>
            <w:r>
              <w:rPr>
                <w:rFonts w:cs="宋体" w:asciiTheme="minorEastAsia" w:hAnsiTheme="minorEastAsia" w:eastAsiaTheme="minorEastAsia"/>
                <w:kern w:val="0"/>
                <w:szCs w:val="21"/>
              </w:rPr>
              <w:t>3.0</w:t>
            </w:r>
          </w:p>
        </w:tc>
        <w:tc>
          <w:tcPr>
            <w:tcW w:w="1275" w:type="dxa"/>
            <w:vAlign w:val="center"/>
          </w:tcPr>
          <w:p>
            <w:pPr>
              <w:widowControl/>
              <w:spacing w:before="100" w:beforeAutospacing="1" w:after="100" w:afterAutospacing="1"/>
              <w:jc w:val="center"/>
              <w:rPr>
                <w:rFonts w:cs="宋体" w:asciiTheme="minorEastAsia" w:hAnsiTheme="minorEastAsia" w:eastAsiaTheme="minorEastAsia"/>
                <w:kern w:val="0"/>
                <w:szCs w:val="21"/>
              </w:rPr>
            </w:pPr>
            <w:r>
              <w:rPr>
                <w:rFonts w:cs="宋体" w:asciiTheme="minorEastAsia" w:hAnsiTheme="minorEastAsia" w:eastAsiaTheme="minorEastAsia"/>
                <w:kern w:val="0"/>
                <w:szCs w:val="21"/>
              </w:rPr>
              <w:t>试件外观</w:t>
            </w:r>
          </w:p>
        </w:tc>
        <w:tc>
          <w:tcPr>
            <w:tcW w:w="1985" w:type="dxa"/>
            <w:vAlign w:val="center"/>
          </w:tcPr>
          <w:p>
            <w:pPr>
              <w:widowControl/>
              <w:spacing w:before="100" w:beforeAutospacing="1" w:after="100" w:afterAutospacing="1"/>
              <w:jc w:val="center"/>
              <w:rPr>
                <w:rFonts w:cs="宋体" w:asciiTheme="minorEastAsia" w:hAnsiTheme="minorEastAsia" w:eastAsiaTheme="minorEastAsia"/>
                <w:kern w:val="0"/>
                <w:szCs w:val="21"/>
              </w:rPr>
            </w:pPr>
            <w:r>
              <w:rPr>
                <w:rFonts w:cs="宋体" w:asciiTheme="minorEastAsia" w:hAnsiTheme="minorEastAsia" w:eastAsiaTheme="minorEastAsia"/>
                <w:kern w:val="0"/>
                <w:szCs w:val="21"/>
              </w:rPr>
              <w:t>有胶体外溢</w:t>
            </w:r>
          </w:p>
        </w:tc>
        <w:tc>
          <w:tcPr>
            <w:tcW w:w="2126" w:type="dxa"/>
            <w:vAlign w:val="center"/>
          </w:tcPr>
          <w:p>
            <w:pPr>
              <w:widowControl/>
              <w:spacing w:before="100" w:beforeAutospacing="1" w:after="100" w:afterAutospacing="1"/>
              <w:jc w:val="center"/>
              <w:rPr>
                <w:rFonts w:cs="宋体" w:asciiTheme="minorEastAsia" w:hAnsiTheme="minorEastAsia" w:eastAsiaTheme="minorEastAsia"/>
                <w:kern w:val="0"/>
                <w:szCs w:val="21"/>
              </w:rPr>
            </w:pPr>
            <w:r>
              <w:rPr>
                <w:rFonts w:cs="宋体" w:asciiTheme="minorEastAsia" w:hAnsiTheme="minorEastAsia" w:eastAsiaTheme="minorEastAsia"/>
                <w:kern w:val="0"/>
                <w:szCs w:val="21"/>
              </w:rPr>
              <w:t>有胶体外溢</w:t>
            </w:r>
          </w:p>
        </w:tc>
        <w:tc>
          <w:tcPr>
            <w:tcW w:w="1894" w:type="dxa"/>
          </w:tcPr>
          <w:p>
            <w:pPr>
              <w:widowControl/>
              <w:spacing w:before="100" w:beforeAutospacing="1" w:after="100" w:afterAutospacing="1"/>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有胶体外溢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exact"/>
        </w:trPr>
        <w:tc>
          <w:tcPr>
            <w:tcW w:w="1101" w:type="dxa"/>
            <w:vMerge w:val="continue"/>
            <w:vAlign w:val="center"/>
          </w:tcPr>
          <w:p>
            <w:pPr>
              <w:widowControl/>
              <w:jc w:val="center"/>
              <w:rPr>
                <w:rFonts w:cs="宋体" w:asciiTheme="minorEastAsia" w:hAnsiTheme="minorEastAsia" w:eastAsiaTheme="minorEastAsia"/>
                <w:kern w:val="0"/>
                <w:szCs w:val="21"/>
              </w:rPr>
            </w:pPr>
          </w:p>
        </w:tc>
        <w:tc>
          <w:tcPr>
            <w:tcW w:w="1275" w:type="dxa"/>
            <w:vAlign w:val="center"/>
          </w:tcPr>
          <w:p>
            <w:pPr>
              <w:widowControl/>
              <w:spacing w:before="100" w:beforeAutospacing="1" w:after="100" w:afterAutospacing="1"/>
              <w:jc w:val="center"/>
              <w:rPr>
                <w:rFonts w:cs="宋体" w:asciiTheme="minorEastAsia" w:hAnsiTheme="minorEastAsia" w:eastAsiaTheme="minorEastAsia"/>
                <w:kern w:val="0"/>
                <w:szCs w:val="21"/>
              </w:rPr>
            </w:pPr>
            <w:r>
              <w:rPr>
                <w:rFonts w:cs="宋体" w:asciiTheme="minorEastAsia" w:hAnsiTheme="minorEastAsia" w:eastAsiaTheme="minorEastAsia"/>
                <w:kern w:val="0"/>
                <w:szCs w:val="21"/>
              </w:rPr>
              <w:t>膨胀率,%</w:t>
            </w:r>
          </w:p>
        </w:tc>
        <w:tc>
          <w:tcPr>
            <w:tcW w:w="1985" w:type="dxa"/>
            <w:vAlign w:val="center"/>
          </w:tcPr>
          <w:p>
            <w:pPr>
              <w:widowControl/>
              <w:spacing w:before="100" w:beforeAutospacing="1" w:after="100" w:afterAutospacing="1"/>
              <w:jc w:val="center"/>
              <w:rPr>
                <w:rFonts w:cs="宋体" w:asciiTheme="minorEastAsia" w:hAnsiTheme="minorEastAsia" w:eastAsiaTheme="minorEastAsia"/>
                <w:kern w:val="0"/>
                <w:szCs w:val="21"/>
              </w:rPr>
            </w:pPr>
            <w:r>
              <w:rPr>
                <w:rFonts w:cs="宋体" w:asciiTheme="minorEastAsia" w:hAnsiTheme="minorEastAsia" w:eastAsiaTheme="minorEastAsia"/>
                <w:kern w:val="0"/>
                <w:szCs w:val="21"/>
              </w:rPr>
              <w:t>0.09</w:t>
            </w:r>
          </w:p>
        </w:tc>
        <w:tc>
          <w:tcPr>
            <w:tcW w:w="2126" w:type="dxa"/>
            <w:vAlign w:val="center"/>
          </w:tcPr>
          <w:p>
            <w:pPr>
              <w:widowControl/>
              <w:spacing w:before="100" w:beforeAutospacing="1" w:after="100" w:afterAutospacing="1"/>
              <w:jc w:val="center"/>
              <w:rPr>
                <w:rFonts w:cs="宋体" w:asciiTheme="minorEastAsia" w:hAnsiTheme="minorEastAsia" w:eastAsiaTheme="minorEastAsia"/>
                <w:kern w:val="0"/>
                <w:szCs w:val="21"/>
              </w:rPr>
            </w:pPr>
            <w:r>
              <w:rPr>
                <w:rFonts w:cs="宋体" w:asciiTheme="minorEastAsia" w:hAnsiTheme="minorEastAsia" w:eastAsiaTheme="minorEastAsia"/>
                <w:kern w:val="0"/>
                <w:szCs w:val="21"/>
              </w:rPr>
              <w:t>0.09</w:t>
            </w:r>
          </w:p>
        </w:tc>
        <w:tc>
          <w:tcPr>
            <w:tcW w:w="1894" w:type="dxa"/>
          </w:tcPr>
          <w:p>
            <w:pPr>
              <w:widowControl/>
              <w:spacing w:before="100" w:beforeAutospacing="1" w:after="100" w:afterAutospacing="1"/>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0</w:t>
            </w:r>
            <w:r>
              <w:rPr>
                <w:rFonts w:cs="宋体" w:asciiTheme="minorEastAsia" w:hAnsiTheme="minorEastAsia" w:eastAsiaTheme="minorEastAsia"/>
                <w:kern w:val="0"/>
                <w:szCs w:val="21"/>
              </w:rPr>
              <w:t>.12</w:t>
            </w:r>
          </w:p>
        </w:tc>
      </w:tr>
    </w:tbl>
    <w:p>
      <w:pPr>
        <w:pStyle w:val="35"/>
        <w:spacing w:line="360" w:lineRule="auto"/>
        <w:rPr>
          <w:rFonts w:cs="Times New Roman"/>
          <w:szCs w:val="21"/>
        </w:rPr>
      </w:pPr>
      <w:r>
        <w:rPr>
          <w:rFonts w:hint="eastAsia" w:cs="Times New Roman"/>
          <w:szCs w:val="21"/>
        </w:rPr>
        <w:t>试验结果显示，随着龄期的延长，在56d龄期时，1.8%碱含量的试验组出现了玻璃再生细骨料碱集料反应现象（有胶体外溢），考虑混凝土和砂浆构件使用年限长达数年、数十年，因此规定用于拌和玻璃再生细骨料砂浆及混凝土的水泥碱含量不应大于1</w:t>
      </w:r>
      <w:r>
        <w:rPr>
          <w:rFonts w:cs="Times New Roman"/>
          <w:szCs w:val="21"/>
        </w:rPr>
        <w:t>.2</w:t>
      </w:r>
      <w:r>
        <w:rPr>
          <w:rFonts w:hint="eastAsia" w:cs="Times New Roman"/>
          <w:szCs w:val="21"/>
        </w:rPr>
        <w:t>%。</w:t>
      </w:r>
    </w:p>
    <w:p>
      <w:pPr>
        <w:pStyle w:val="54"/>
        <w:numPr>
          <w:ilvl w:val="0"/>
          <w:numId w:val="0"/>
        </w:numPr>
        <w:spacing w:line="360" w:lineRule="auto"/>
        <w:rPr>
          <w:rFonts w:hAnsi="宋体"/>
        </w:rPr>
      </w:pPr>
      <w:r>
        <w:rPr>
          <w:rFonts w:hint="eastAsia" w:ascii="黑体" w:hAnsi="黑体" w:eastAsia="黑体"/>
          <w:b/>
          <w:bCs/>
        </w:rPr>
        <w:t>5</w:t>
      </w:r>
      <w:r>
        <w:rPr>
          <w:rFonts w:ascii="黑体" w:hAnsi="黑体" w:eastAsia="黑体"/>
          <w:b/>
          <w:bCs/>
        </w:rPr>
        <w:t xml:space="preserve">.1.7 </w:t>
      </w:r>
      <w:r>
        <w:rPr>
          <w:rFonts w:hint="eastAsia" w:hAnsi="宋体"/>
        </w:rPr>
        <w:t>检测结果发现，C25玻璃再生细骨料混凝土的静弹性模量与C25普通混凝土接近，分别为28400MPa和28700MPa；陶瓷再生细骨料混凝土的静弹性模量与普通混凝土相差较大，测试结果C20普通混凝土的静弹性模量为26500MPa，C20陶瓷再生细骨料混凝土的静弹性模量为284MPa，静弹性模量换算系数为1</w:t>
      </w:r>
      <w:r>
        <w:rPr>
          <w:rFonts w:hAnsi="宋体"/>
        </w:rPr>
        <w:t>.07</w:t>
      </w:r>
      <w:r>
        <w:rPr>
          <w:rFonts w:hint="eastAsia" w:hAnsi="宋体"/>
        </w:rPr>
        <w:t>。</w:t>
      </w:r>
    </w:p>
    <w:p>
      <w:pPr>
        <w:pStyle w:val="54"/>
        <w:numPr>
          <w:ilvl w:val="0"/>
          <w:numId w:val="0"/>
        </w:numPr>
        <w:spacing w:line="360" w:lineRule="auto"/>
        <w:rPr>
          <w:rFonts w:ascii="黑体" w:hAnsi="黑体" w:eastAsia="黑体"/>
        </w:rPr>
      </w:pPr>
      <w:r>
        <w:rPr>
          <w:rFonts w:hint="eastAsia" w:ascii="黑体" w:hAnsi="黑体" w:eastAsia="黑体"/>
        </w:rPr>
        <w:t>5.1.8-5.1.9</w:t>
      </w:r>
      <w:r>
        <w:rPr>
          <w:rFonts w:hint="eastAsia" w:asciiTheme="minorEastAsia" w:eastAsiaTheme="minorEastAsia"/>
        </w:rPr>
        <w:t>按照</w:t>
      </w:r>
      <w:r>
        <w:rPr>
          <w:rFonts w:hint="eastAsia" w:asciiTheme="minorEastAsia" w:eastAsiaTheme="minorEastAsia"/>
          <w:shd w:val="clear" w:color="auto" w:fill="EBF1FA" w:themeFill="background1"/>
        </w:rPr>
        <w:t>《普通混凝土拌合物性能试验方法》GB/T 50080、《混凝土物理力学性能试验方法》GB/T 50081和《普通混凝土长期性能和耐久性能试验方法》GB/T 50082规定的试验方法对比检测</w:t>
      </w:r>
      <w:r>
        <w:rPr>
          <w:rFonts w:hint="eastAsia" w:asciiTheme="minorEastAsia" w:eastAsiaTheme="minorEastAsia"/>
        </w:rPr>
        <w:t>玻璃/陶瓷再生细骨料混凝土和普通混凝土的拌合物性能、力学性能、耐久性能，研究发现，除了28d龄期以上的混凝土收缩值大小有明显差异外，玻璃/陶瓷再生细骨料混凝土与普通混凝土的拌合物性能、力学性能、耐久性能都基本相当，因此</w:t>
      </w:r>
      <w:r>
        <w:rPr>
          <w:rFonts w:hint="eastAsia" w:asciiTheme="minorEastAsia" w:eastAsiaTheme="minorEastAsia"/>
          <w:shd w:val="clear" w:color="auto" w:fill="EBF1FA" w:themeFill="background1"/>
        </w:rPr>
        <w:t>GB/T 50080、GB/T 50081、GB/T 50082规定的试验方法及</w:t>
      </w:r>
      <w:r>
        <w:rPr>
          <w:rFonts w:asciiTheme="minorEastAsia" w:eastAsiaTheme="minorEastAsia"/>
          <w:shd w:val="clear" w:color="auto" w:fill="EBF1FA" w:themeFill="background1"/>
        </w:rPr>
        <w:t>GB 50010</w:t>
      </w:r>
      <w:r>
        <w:rPr>
          <w:rFonts w:hint="eastAsia" w:asciiTheme="minorEastAsia" w:eastAsiaTheme="minorEastAsia"/>
          <w:shd w:val="clear" w:color="auto" w:fill="EBF1FA" w:themeFill="background1"/>
        </w:rPr>
        <w:t>、</w:t>
      </w:r>
      <w:r>
        <w:rPr>
          <w:rFonts w:asciiTheme="minorEastAsia" w:eastAsiaTheme="minorEastAsia"/>
          <w:shd w:val="clear" w:color="auto" w:fill="EBF1FA" w:themeFill="background1"/>
        </w:rPr>
        <w:t>GB/T 50476和JGJ/T 240对混凝土的耐久性设计要求同样适用于玻璃</w:t>
      </w:r>
      <w:r>
        <w:rPr>
          <w:rFonts w:hint="eastAsia" w:asciiTheme="minorEastAsia" w:eastAsiaTheme="minorEastAsia"/>
          <w:shd w:val="clear" w:color="auto" w:fill="EBF1FA" w:themeFill="background1"/>
        </w:rPr>
        <w:t>/陶瓷再生细骨料混凝土。</w:t>
      </w:r>
    </w:p>
    <w:p>
      <w:pPr>
        <w:pStyle w:val="51"/>
        <w:spacing w:before="156" w:after="156"/>
        <w:rPr>
          <w:szCs w:val="28"/>
        </w:rPr>
      </w:pPr>
      <w:r>
        <w:rPr>
          <w:rFonts w:hint="eastAsia"/>
          <w:szCs w:val="28"/>
        </w:rPr>
        <w:t>原材料</w:t>
      </w:r>
    </w:p>
    <w:p>
      <w:pPr>
        <w:pStyle w:val="54"/>
        <w:spacing w:line="360" w:lineRule="auto"/>
      </w:pPr>
      <w:r>
        <w:rPr>
          <w:rFonts w:hint="eastAsia"/>
        </w:rPr>
        <w:t>用于配制普通混凝土的其他原材料同样可用于配制玻璃/陶瓷再生细骨料混凝土，因此，用于配制玻璃/陶瓷再生细骨料混凝土的原材料同样需符合现行相关国家和行业标准、规范的规定。从表5</w:t>
      </w:r>
      <w:r>
        <w:t>.1.</w:t>
      </w:r>
      <w:r>
        <w:rPr>
          <w:rFonts w:hint="eastAsia"/>
        </w:rPr>
        <w:t>6研究得到的试验结果表明，当水泥的碱含量超过1</w:t>
      </w:r>
      <w:r>
        <w:t>.2</w:t>
      </w:r>
      <w:r>
        <w:rPr>
          <w:rFonts w:hint="eastAsia"/>
        </w:rPr>
        <w:t>%时会有潜在的碱集料反应危害，因此规定用于配制玻璃/陶瓷再生细骨料混凝土的水泥应采用低碱水泥，水泥的碱含量不得超过1</w:t>
      </w:r>
      <w:r>
        <w:t>.2</w:t>
      </w:r>
      <w:r>
        <w:rPr>
          <w:rFonts w:hint="eastAsia"/>
        </w:rPr>
        <w:t>%。</w:t>
      </w:r>
    </w:p>
    <w:p>
      <w:pPr>
        <w:pStyle w:val="51"/>
        <w:spacing w:before="156" w:after="156"/>
        <w:rPr>
          <w:szCs w:val="28"/>
        </w:rPr>
      </w:pPr>
      <w:r>
        <w:rPr>
          <w:rFonts w:hint="eastAsia"/>
          <w:szCs w:val="28"/>
        </w:rPr>
        <w:t>配合比设计</w:t>
      </w:r>
    </w:p>
    <w:p>
      <w:pPr>
        <w:pStyle w:val="27"/>
        <w:spacing w:beforeLines="0" w:afterLines="0" w:line="360" w:lineRule="auto"/>
        <w:rPr>
          <w:rFonts w:asciiTheme="minorEastAsia" w:hAnsiTheme="minorEastAsia" w:eastAsiaTheme="minorEastAsia"/>
        </w:rPr>
      </w:pPr>
      <w:r>
        <w:rPr>
          <w:rFonts w:hint="eastAsia" w:asciiTheme="minorEastAsia" w:hAnsiTheme="minorEastAsia" w:eastAsiaTheme="minorEastAsia"/>
        </w:rPr>
        <w:t>无论是普通混凝土，还是再生骨料混凝土，满足</w:t>
      </w:r>
      <w:r>
        <w:rPr>
          <w:rFonts w:asciiTheme="minorEastAsia" w:hAnsiTheme="minorEastAsia" w:eastAsiaTheme="minorEastAsia"/>
        </w:rPr>
        <w:t>混凝土和易性、强度</w:t>
      </w:r>
      <w:r>
        <w:rPr>
          <w:rFonts w:hint="eastAsia" w:asciiTheme="minorEastAsia" w:hAnsiTheme="minorEastAsia" w:eastAsiaTheme="minorEastAsia"/>
        </w:rPr>
        <w:t>、体积稳定性</w:t>
      </w:r>
      <w:r>
        <w:rPr>
          <w:rFonts w:asciiTheme="minorEastAsia" w:hAnsiTheme="minorEastAsia" w:eastAsiaTheme="minorEastAsia"/>
        </w:rPr>
        <w:t>和耐久性的要求</w:t>
      </w:r>
      <w:r>
        <w:rPr>
          <w:rFonts w:hint="eastAsia" w:asciiTheme="minorEastAsia" w:hAnsiTheme="minorEastAsia" w:eastAsiaTheme="minorEastAsia"/>
        </w:rPr>
        <w:t>，</w:t>
      </w:r>
      <w:r>
        <w:rPr>
          <w:rFonts w:asciiTheme="minorEastAsia" w:hAnsiTheme="minorEastAsia" w:eastAsiaTheme="minorEastAsia"/>
        </w:rPr>
        <w:t>是基本的</w:t>
      </w:r>
      <w:r>
        <w:rPr>
          <w:rFonts w:hint="eastAsia" w:asciiTheme="minorEastAsia" w:hAnsiTheme="minorEastAsia" w:eastAsiaTheme="minorEastAsia"/>
        </w:rPr>
        <w:t>、</w:t>
      </w:r>
      <w:r>
        <w:rPr>
          <w:rFonts w:asciiTheme="minorEastAsia" w:hAnsiTheme="minorEastAsia" w:eastAsiaTheme="minorEastAsia"/>
        </w:rPr>
        <w:t>通用的要求</w:t>
      </w:r>
      <w:r>
        <w:rPr>
          <w:rFonts w:hint="eastAsia" w:asciiTheme="minorEastAsia" w:hAnsiTheme="minorEastAsia" w:eastAsiaTheme="minorEastAsia"/>
        </w:rPr>
        <w:t>。</w:t>
      </w:r>
      <w:r>
        <w:rPr>
          <w:rFonts w:asciiTheme="minorEastAsia" w:hAnsiTheme="minorEastAsia" w:eastAsiaTheme="minorEastAsia"/>
        </w:rPr>
        <w:t>现行行业标准</w:t>
      </w:r>
      <w:r>
        <w:rPr>
          <w:rFonts w:asciiTheme="minorEastAsia" w:hAnsiTheme="minorEastAsia" w:eastAsiaTheme="minorEastAsia"/>
          <w:shd w:val="clear" w:color="auto" w:fill="EBF1FA" w:themeFill="background1"/>
        </w:rPr>
        <w:t>《</w:t>
      </w:r>
      <w:r>
        <w:rPr>
          <w:rFonts w:hint="eastAsia" w:asciiTheme="minorEastAsia" w:hAnsiTheme="minorEastAsia" w:eastAsiaTheme="minorEastAsia"/>
          <w:shd w:val="clear" w:color="auto" w:fill="EBF1FA" w:themeFill="background1"/>
        </w:rPr>
        <w:t>普通混凝土配合比设计规程》JGJ 55规定的设计方法和步骤同样适用于</w:t>
      </w:r>
      <w:r>
        <w:rPr>
          <w:rFonts w:hint="eastAsia" w:asciiTheme="minorEastAsia" w:hAnsiTheme="minorEastAsia" w:eastAsiaTheme="minorEastAsia"/>
        </w:rPr>
        <w:t>玻璃/陶瓷再生细骨料混凝土。</w:t>
      </w:r>
    </w:p>
    <w:p>
      <w:pPr>
        <w:pStyle w:val="31"/>
        <w:numPr>
          <w:ilvl w:val="0"/>
          <w:numId w:val="0"/>
        </w:numPr>
        <w:ind w:left="73" w:leftChars="35" w:firstLine="420" w:firstLineChars="200"/>
        <w:rPr>
          <w:rFonts w:asciiTheme="minorEastAsia" w:eastAsiaTheme="minorEastAsia"/>
        </w:rPr>
      </w:pPr>
      <w:r>
        <w:rPr>
          <w:rFonts w:hint="eastAsia"/>
        </w:rPr>
        <w:t>试验研究发现，在拌制C15</w:t>
      </w:r>
      <w:r>
        <w:rPr>
          <w:rFonts w:ascii="Times New Roman" w:hAnsi="Times New Roman" w:cs="Times New Roman"/>
        </w:rPr>
        <w:t>~</w:t>
      </w:r>
      <w:r>
        <w:rPr>
          <w:rFonts w:hint="eastAsia"/>
        </w:rPr>
        <w:t>C50</w:t>
      </w:r>
      <w:r>
        <w:rPr>
          <w:rFonts w:hint="eastAsia" w:asciiTheme="minorEastAsia" w:eastAsiaTheme="minorEastAsia"/>
        </w:rPr>
        <w:t>玻璃再生细骨料混凝土时，混凝土的拌合物性能、力学性能和混凝土的</w:t>
      </w:r>
      <w:r>
        <w:t>抗渗性能、抗氯离子渗透、抗硫酸盐侵蚀、动弹性模量、抗碳化性能等指标</w:t>
      </w:r>
      <w:r>
        <w:rPr>
          <w:rFonts w:hint="eastAsia" w:asciiTheme="minorEastAsia" w:eastAsiaTheme="minorEastAsia"/>
        </w:rPr>
        <w:t>与普通混凝土都基本相当，但当混凝土强度等级达到C30及以上时，28d龄期以上的混凝土收缩率，玻璃再生细骨料混凝土明显大于普通混凝土；当混凝土强度等级为C25，玻璃再生细骨料取代率</w:t>
      </w:r>
      <w:r>
        <w:rPr>
          <w:rFonts w:hint="eastAsia" w:cs="宋体"/>
        </w:rPr>
        <w:t>≤</w:t>
      </w:r>
      <w:r>
        <w:rPr>
          <w:rFonts w:cs="宋体"/>
        </w:rPr>
        <w:t>20</w:t>
      </w:r>
      <w:r>
        <w:rPr>
          <w:rFonts w:hint="eastAsia" w:cs="宋体"/>
        </w:rPr>
        <w:t>%</w:t>
      </w:r>
      <w:r>
        <w:rPr>
          <w:rFonts w:cs="宋体"/>
        </w:rPr>
        <w:t>时</w:t>
      </w:r>
      <w:r>
        <w:rPr>
          <w:rFonts w:hint="eastAsia" w:cs="宋体"/>
        </w:rPr>
        <w:t>，玻璃再生细骨料</w:t>
      </w:r>
      <w:r>
        <w:rPr>
          <w:rFonts w:cs="宋体"/>
        </w:rPr>
        <w:t>混凝土各龄期的收缩率与普通混凝土相当</w:t>
      </w:r>
      <w:r>
        <w:rPr>
          <w:rFonts w:hint="eastAsia" w:cs="宋体"/>
        </w:rPr>
        <w:t>；当混凝土强度等级为C20及以下，玻璃再生细骨料的取代率≤30%时，玻璃再生细骨料</w:t>
      </w:r>
      <w:r>
        <w:rPr>
          <w:rFonts w:cs="宋体"/>
        </w:rPr>
        <w:t>混凝土各龄期的收缩率与普通混凝土相当</w:t>
      </w:r>
      <w:r>
        <w:rPr>
          <w:rFonts w:hint="eastAsia" w:cs="宋体"/>
        </w:rPr>
        <w:t>。</w:t>
      </w:r>
    </w:p>
    <w:p>
      <w:pPr>
        <w:pStyle w:val="31"/>
        <w:numPr>
          <w:ilvl w:val="0"/>
          <w:numId w:val="0"/>
        </w:numPr>
        <w:ind w:left="73" w:leftChars="35" w:firstLine="420" w:firstLineChars="200"/>
        <w:rPr>
          <w:rFonts w:cs="宋体"/>
        </w:rPr>
      </w:pPr>
      <w:r>
        <w:rPr>
          <w:rFonts w:hint="eastAsia"/>
        </w:rPr>
        <w:t>试验研究发现，当混凝土强度等级大于C25及以上时，任意掺量的陶瓷再生细骨料混凝土，其混凝土收缩率都大于同强度等级的普通混凝土；</w:t>
      </w:r>
      <w:r>
        <w:t>当混凝土强度等级为</w:t>
      </w:r>
      <w:r>
        <w:rPr>
          <w:rFonts w:hint="eastAsia"/>
        </w:rPr>
        <w:t>C20及以下，且陶瓷再生细骨料的取代率</w:t>
      </w:r>
      <w:r>
        <w:rPr>
          <w:rFonts w:hint="eastAsia" w:cs="宋体"/>
        </w:rPr>
        <w:t>≤1</w:t>
      </w:r>
      <w:r>
        <w:rPr>
          <w:rFonts w:cs="宋体"/>
        </w:rPr>
        <w:t>0</w:t>
      </w:r>
      <w:r>
        <w:rPr>
          <w:rFonts w:hint="eastAsia" w:cs="宋体"/>
        </w:rPr>
        <w:t>%</w:t>
      </w:r>
      <w:r>
        <w:rPr>
          <w:rFonts w:cs="宋体"/>
        </w:rPr>
        <w:t>时</w:t>
      </w:r>
      <w:r>
        <w:rPr>
          <w:rFonts w:hint="eastAsia" w:cs="宋体"/>
        </w:rPr>
        <w:t>，</w:t>
      </w:r>
      <w:r>
        <w:rPr>
          <w:rFonts w:cs="宋体"/>
        </w:rPr>
        <w:t>陶瓷再生细骨料混凝土各龄期的收缩率与普通混凝土相当</w:t>
      </w:r>
      <w:r>
        <w:rPr>
          <w:rFonts w:hint="eastAsia" w:cs="宋体"/>
        </w:rPr>
        <w:t>。</w:t>
      </w:r>
    </w:p>
    <w:p>
      <w:pPr>
        <w:pStyle w:val="31"/>
        <w:numPr>
          <w:ilvl w:val="0"/>
          <w:numId w:val="0"/>
        </w:numPr>
        <w:ind w:left="73" w:leftChars="35" w:firstLine="420" w:firstLineChars="200"/>
      </w:pPr>
      <w:r>
        <w:rPr>
          <w:rFonts w:hint="eastAsia"/>
        </w:rPr>
        <w:t>玻璃/陶瓷再生细骨料的表观密度与机制砂、天然砂差异较大，因此应采用绝对体积法计算混凝土配合比，可有效减少误差。</w:t>
      </w:r>
    </w:p>
    <w:p>
      <w:pPr>
        <w:pStyle w:val="31"/>
        <w:numPr>
          <w:ilvl w:val="0"/>
          <w:numId w:val="0"/>
        </w:numPr>
        <w:ind w:left="73" w:leftChars="35" w:firstLine="420" w:firstLineChars="200"/>
        <w:rPr>
          <w:rFonts w:asciiTheme="minorEastAsia" w:hAnsiTheme="minorEastAsia" w:eastAsiaTheme="minorEastAsia"/>
        </w:rPr>
      </w:pPr>
      <w:r>
        <w:rPr>
          <w:rFonts w:asciiTheme="minorEastAsia" w:hAnsiTheme="minorEastAsia" w:eastAsiaTheme="minorEastAsia"/>
        </w:rPr>
        <w:t>试验研究发现</w:t>
      </w:r>
      <w:r>
        <w:rPr>
          <w:rFonts w:hint="eastAsia" w:asciiTheme="minorEastAsia" w:hAnsiTheme="minorEastAsia" w:eastAsiaTheme="minorEastAsia"/>
        </w:rPr>
        <w:t>，</w:t>
      </w:r>
      <w:r>
        <w:rPr>
          <w:rFonts w:asciiTheme="minorEastAsia" w:hAnsiTheme="minorEastAsia" w:eastAsiaTheme="minorEastAsia"/>
        </w:rPr>
        <w:t>掺入</w:t>
      </w:r>
      <w:r>
        <w:rPr>
          <w:rFonts w:hint="eastAsia" w:asciiTheme="minorEastAsia" w:hAnsiTheme="minorEastAsia" w:eastAsiaTheme="minorEastAsia"/>
        </w:rPr>
        <w:t>陶瓷再生细骨料可引起混凝土的含气量提高，掺量越大，引气越明显，因此配制陶瓷再生细骨料混凝土时可适当降低砂，有利于有效控制混凝土含气量。</w:t>
      </w:r>
    </w:p>
    <w:p>
      <w:pPr>
        <w:pStyle w:val="31"/>
        <w:numPr>
          <w:ilvl w:val="0"/>
          <w:numId w:val="0"/>
        </w:numPr>
        <w:ind w:left="73" w:leftChars="35" w:firstLine="420" w:firstLineChars="200"/>
      </w:pPr>
      <w:r>
        <w:rPr>
          <w:rFonts w:hint="eastAsia"/>
        </w:rPr>
        <w:t>由于掺入陶瓷再生细骨料可引起混凝土含气量升高，且掺量越大，引气效果越明显，造成混凝土强度大幅下降。试验中通过调整外加剂配方，增加消泡组分，可有效控制混凝土含气量，试验发现，只有当陶瓷再生细骨料混凝土含气量与基准混凝土含气量之差不超过1</w:t>
      </w:r>
      <w:r>
        <w:t>.0</w:t>
      </w:r>
      <w:r>
        <w:rPr>
          <w:rFonts w:hint="eastAsia"/>
        </w:rPr>
        <w:t>%时，混凝土抗压强度才不会明显下降。</w:t>
      </w:r>
    </w:p>
    <w:p>
      <w:pPr>
        <w:pStyle w:val="54"/>
        <w:spacing w:line="360" w:lineRule="auto"/>
      </w:pPr>
      <w:bookmarkStart w:id="42" w:name="_Hlk68753580"/>
      <w:r>
        <w:rPr>
          <w:rFonts w:hint="eastAsia"/>
        </w:rPr>
        <w:t>因为再生骨料的原材料来源广泛，质量不易控制，一般混凝土中不宜同时掺用多种再生骨料。因此不建议在掺用玻璃/陶瓷再生细骨料的同时掺用其他再生骨料，</w:t>
      </w:r>
      <w:r>
        <w:t>如果其他再生骨料掺用，</w:t>
      </w:r>
      <w:bookmarkEnd w:id="42"/>
      <w:r>
        <w:rPr>
          <w:rFonts w:hint="eastAsia"/>
        </w:rPr>
        <w:t>应</w:t>
      </w:r>
      <w:r>
        <w:t>通过试验确定玻璃</w:t>
      </w:r>
      <w:r>
        <w:rPr>
          <w:rFonts w:hint="eastAsia"/>
        </w:rPr>
        <w:t>/陶瓷再生细骨料的取代率。</w:t>
      </w:r>
    </w:p>
    <w:p>
      <w:pPr>
        <w:pStyle w:val="51"/>
        <w:spacing w:before="156" w:after="156"/>
      </w:pPr>
      <w:r>
        <w:rPr>
          <w:rFonts w:hint="eastAsia"/>
        </w:rPr>
        <w:t>制备和运输</w:t>
      </w:r>
    </w:p>
    <w:p>
      <w:pPr>
        <w:pStyle w:val="54"/>
        <w:spacing w:line="360" w:lineRule="auto"/>
      </w:pPr>
      <w:r>
        <w:rPr>
          <w:rFonts w:hint="eastAsia" w:ascii="黑体" w:hAnsi="黑体" w:eastAsia="黑体"/>
          <w:b/>
          <w:bCs/>
        </w:rPr>
        <w:t>-5.4.2</w:t>
      </w:r>
      <w:r>
        <w:rPr>
          <w:rFonts w:hint="eastAsia"/>
        </w:rPr>
        <w:t>玻璃/陶瓷再生细骨料混凝土原材料的储存和计量，玻璃/陶瓷再生细骨料混凝土的搅拌和运输等，总体上与普通混凝土的要求一</w:t>
      </w:r>
      <w:r>
        <w:t>样。</w:t>
      </w:r>
      <w:r>
        <w:rPr>
          <w:rFonts w:hint="eastAsia"/>
        </w:rPr>
        <w:t>因此现行国家标准《预拌混凝土》</w:t>
      </w:r>
      <w:r>
        <w:t>GB/T 14902的规定同样适用于</w:t>
      </w:r>
      <w:r>
        <w:rPr>
          <w:rFonts w:hint="eastAsia"/>
        </w:rPr>
        <w:t>玻璃/陶瓷再生细骨料混凝土</w:t>
      </w:r>
      <w:r>
        <w:t>。</w:t>
      </w:r>
    </w:p>
    <w:p>
      <w:pPr>
        <w:pStyle w:val="51"/>
        <w:spacing w:before="156" w:after="156"/>
        <w:rPr>
          <w:szCs w:val="28"/>
        </w:rPr>
      </w:pPr>
      <w:r>
        <w:rPr>
          <w:rFonts w:hint="eastAsia"/>
          <w:szCs w:val="28"/>
        </w:rPr>
        <w:t>浇筑和养护</w:t>
      </w:r>
    </w:p>
    <w:p>
      <w:pPr>
        <w:pStyle w:val="54"/>
        <w:spacing w:line="360" w:lineRule="auto"/>
      </w:pPr>
      <w:r>
        <w:rPr>
          <w:rFonts w:hint="eastAsia"/>
        </w:rPr>
        <w:t>《混凝土结构工程施工规范》GB 50666规定的振捣方法适用于玻璃/陶瓷再生细骨料混凝土，其振捣宜使用插入式振动棒振捣，并应满足下列要求：</w:t>
      </w:r>
    </w:p>
    <w:p>
      <w:pPr>
        <w:pStyle w:val="31"/>
        <w:numPr>
          <w:ilvl w:val="0"/>
          <w:numId w:val="0"/>
        </w:numPr>
        <w:ind w:left="577" w:leftChars="200" w:hanging="157" w:hangingChars="75"/>
        <w:rPr>
          <w:rFonts w:asciiTheme="minorEastAsia" w:hAnsiTheme="minorEastAsia" w:eastAsiaTheme="minorEastAsia"/>
        </w:rPr>
      </w:pPr>
      <w:r>
        <w:rPr>
          <w:rFonts w:hint="eastAsia" w:asciiTheme="minorEastAsia" w:hAnsiTheme="minorEastAsia" w:eastAsiaTheme="minorEastAsia"/>
        </w:rPr>
        <w:t>1</w:t>
      </w:r>
      <w:r>
        <w:rPr>
          <w:rFonts w:asciiTheme="minorEastAsia" w:hAnsiTheme="minorEastAsia" w:eastAsiaTheme="minorEastAsia"/>
        </w:rPr>
        <w:t>应按分层浇筑厚度分别进行振捣，振动棒的前端应插入前一层混凝土中，插入深度不应小于50mm；</w:t>
      </w:r>
    </w:p>
    <w:p>
      <w:pPr>
        <w:pStyle w:val="31"/>
        <w:numPr>
          <w:ilvl w:val="0"/>
          <w:numId w:val="0"/>
        </w:numPr>
        <w:ind w:left="577" w:leftChars="200" w:hanging="157" w:hangingChars="75"/>
        <w:rPr>
          <w:rFonts w:asciiTheme="minorEastAsia" w:hAnsiTheme="minorEastAsia" w:eastAsiaTheme="minorEastAsia"/>
        </w:rPr>
      </w:pPr>
      <w:r>
        <w:rPr>
          <w:rFonts w:asciiTheme="minorEastAsia" w:hAnsiTheme="minorEastAsia" w:eastAsiaTheme="minorEastAsia"/>
        </w:rPr>
        <w:t>2振动棒应垂直于混凝土表面并快插慢拔均匀振捣；当混凝土表面无明显塌陷、有水泥浆出现、不再冒气泡时，可结束该部位振捣；</w:t>
      </w:r>
    </w:p>
    <w:p>
      <w:pPr>
        <w:pStyle w:val="31"/>
        <w:numPr>
          <w:ilvl w:val="0"/>
          <w:numId w:val="0"/>
        </w:numPr>
        <w:ind w:left="577" w:leftChars="200" w:hanging="157" w:hangingChars="75"/>
        <w:rPr>
          <w:rFonts w:asciiTheme="minorEastAsia" w:hAnsiTheme="minorEastAsia" w:eastAsiaTheme="minorEastAsia"/>
        </w:rPr>
      </w:pPr>
      <w:r>
        <w:rPr>
          <w:rFonts w:asciiTheme="minorEastAsia" w:hAnsiTheme="minorEastAsia" w:eastAsiaTheme="minorEastAsia"/>
        </w:rPr>
        <w:t>3振动棒与模板的距离不应大于振动棒作用半径的0.5倍；振捣插点间距不应大于振动棒的作用半径的1.4倍</w:t>
      </w:r>
      <w:r>
        <w:rPr>
          <w:rFonts w:hint="eastAsia" w:asciiTheme="minorEastAsia" w:hAnsiTheme="minorEastAsia" w:eastAsiaTheme="minorEastAsia"/>
        </w:rPr>
        <w:t>；</w:t>
      </w:r>
    </w:p>
    <w:p>
      <w:pPr>
        <w:pStyle w:val="31"/>
        <w:numPr>
          <w:ilvl w:val="0"/>
          <w:numId w:val="0"/>
        </w:numPr>
        <w:ind w:left="577" w:leftChars="200" w:hanging="157" w:hangingChars="75"/>
        <w:rPr>
          <w:rFonts w:asciiTheme="minorEastAsia" w:hAnsiTheme="minorEastAsia" w:eastAsiaTheme="minorEastAsia"/>
        </w:rPr>
      </w:pPr>
      <w:r>
        <w:rPr>
          <w:rFonts w:asciiTheme="minorEastAsia" w:hAnsiTheme="minorEastAsia" w:eastAsiaTheme="minorEastAsia"/>
        </w:rPr>
        <w:t>4</w:t>
      </w:r>
      <w:r>
        <w:rPr>
          <w:rFonts w:hint="eastAsia" w:asciiTheme="minorEastAsia" w:hAnsiTheme="minorEastAsia" w:eastAsiaTheme="minorEastAsia"/>
        </w:rPr>
        <w:t>应避免漏振产生蜂窝麻面，同时要避免过振产生分层和离析。</w:t>
      </w:r>
    </w:p>
    <w:p>
      <w:pPr>
        <w:pStyle w:val="54"/>
        <w:spacing w:line="360" w:lineRule="auto"/>
      </w:pPr>
      <w:r>
        <w:rPr>
          <w:rFonts w:hint="eastAsia"/>
        </w:rPr>
        <w:t>现行国家标准《混凝土质量控制标准》GB 50164和《混凝土结构工程施工规范》GB 50666对混凝土浇筑和养护的相关规定同样适用于玻璃/陶瓷再生细骨料混凝土。由于玻璃</w:t>
      </w:r>
      <w:r>
        <w:t>/</w:t>
      </w:r>
      <w:r>
        <w:rPr>
          <w:rFonts w:hint="eastAsia"/>
        </w:rPr>
        <w:t>陶瓷再生骨料混凝土对干燥收缩更为敏感，预防混凝土早期收缩开裂尤为重要，所以对于玻璃/陶瓷骨料混凝土应特别加强早期养护。</w:t>
      </w:r>
    </w:p>
    <w:p>
      <w:pPr>
        <w:pStyle w:val="54"/>
        <w:numPr>
          <w:ilvl w:val="0"/>
          <w:numId w:val="0"/>
        </w:numPr>
      </w:pPr>
    </w:p>
    <w:p>
      <w:pPr>
        <w:widowControl/>
        <w:jc w:val="left"/>
        <w:rPr>
          <w:rFonts w:hAnsiTheme="minorEastAsia"/>
          <w:szCs w:val="21"/>
        </w:rPr>
      </w:pPr>
      <w:r>
        <w:br w:type="page"/>
      </w:r>
    </w:p>
    <w:p>
      <w:pPr>
        <w:pStyle w:val="24"/>
        <w:spacing w:before="156" w:after="156"/>
        <w:rPr>
          <w:sz w:val="32"/>
          <w:szCs w:val="32"/>
        </w:rPr>
      </w:pPr>
      <w:r>
        <w:rPr>
          <w:rFonts w:hint="eastAsia"/>
          <w:sz w:val="32"/>
          <w:szCs w:val="32"/>
        </w:rPr>
        <w:t>玻璃/陶瓷再生细骨料砂浆</w:t>
      </w:r>
    </w:p>
    <w:p>
      <w:pPr>
        <w:pStyle w:val="51"/>
        <w:spacing w:before="156" w:after="156"/>
        <w:rPr>
          <w:vanish/>
          <w:szCs w:val="28"/>
        </w:rPr>
      </w:pPr>
      <w:r>
        <w:rPr>
          <w:rFonts w:hint="eastAsia"/>
          <w:vanish/>
          <w:szCs w:val="28"/>
        </w:rPr>
        <w:t>一般规定</w:t>
      </w:r>
    </w:p>
    <w:p>
      <w:pPr>
        <w:pStyle w:val="51"/>
        <w:spacing w:before="156" w:after="156"/>
        <w:rPr>
          <w:szCs w:val="28"/>
        </w:rPr>
      </w:pPr>
      <w:r>
        <w:rPr>
          <w:rFonts w:hint="eastAsia"/>
          <w:szCs w:val="28"/>
        </w:rPr>
        <w:t>一般规定</w:t>
      </w:r>
    </w:p>
    <w:p>
      <w:pPr>
        <w:tabs>
          <w:tab w:val="left" w:pos="0"/>
        </w:tabs>
        <w:spacing w:line="360" w:lineRule="auto"/>
        <w:rPr>
          <w:szCs w:val="21"/>
        </w:rPr>
      </w:pPr>
      <w:r>
        <w:rPr>
          <w:rFonts w:hint="eastAsia" w:ascii="黑体" w:hAnsi="黑体" w:eastAsia="黑体"/>
          <w:b/>
          <w:bCs/>
          <w:szCs w:val="21"/>
        </w:rPr>
        <w:t>6</w:t>
      </w:r>
      <w:r>
        <w:rPr>
          <w:rFonts w:ascii="黑体" w:hAnsi="黑体" w:eastAsia="黑体"/>
          <w:b/>
          <w:bCs/>
          <w:szCs w:val="21"/>
        </w:rPr>
        <w:t>.1.1</w:t>
      </w:r>
      <w:r>
        <w:rPr>
          <w:rFonts w:hint="eastAsia" w:ascii="黑体" w:hAnsi="黑体" w:eastAsia="黑体"/>
          <w:b/>
          <w:bCs/>
          <w:szCs w:val="21"/>
        </w:rPr>
        <w:t>-</w:t>
      </w:r>
      <w:r>
        <w:rPr>
          <w:rFonts w:ascii="黑体" w:hAnsi="黑体" w:eastAsia="黑体"/>
          <w:b/>
          <w:bCs/>
          <w:szCs w:val="21"/>
        </w:rPr>
        <w:t>6.1.2</w:t>
      </w:r>
      <w:r>
        <w:rPr>
          <w:rFonts w:hint="eastAsia"/>
          <w:szCs w:val="21"/>
        </w:rPr>
        <w:t>根据目前福建省建设主管部门的有关要求，现阶段砌筑砂浆和抹灰砂浆的生产一律采取预拌方式生产，其中预拌砂浆包括湿拌砂浆和干粉砂浆。</w:t>
      </w:r>
    </w:p>
    <w:p>
      <w:pPr>
        <w:pStyle w:val="54"/>
        <w:numPr>
          <w:ilvl w:val="0"/>
          <w:numId w:val="0"/>
        </w:numPr>
        <w:spacing w:line="360" w:lineRule="auto"/>
        <w:rPr>
          <w:rFonts w:hAnsi="宋体"/>
        </w:rPr>
      </w:pPr>
      <w:r>
        <w:rPr>
          <w:rFonts w:hint="eastAsia" w:ascii="黑体" w:hAnsi="黑体" w:eastAsia="黑体"/>
          <w:b/>
          <w:bCs/>
        </w:rPr>
        <w:t>6</w:t>
      </w:r>
      <w:r>
        <w:rPr>
          <w:rFonts w:ascii="黑体" w:hAnsi="黑体" w:eastAsia="黑体"/>
          <w:b/>
          <w:bCs/>
        </w:rPr>
        <w:t>.1.3</w:t>
      </w:r>
      <w:r>
        <w:rPr>
          <w:rFonts w:asciiTheme="minorEastAsia" w:eastAsiaTheme="minorEastAsia"/>
          <w:bCs/>
        </w:rPr>
        <w:t>试验验证了</w:t>
      </w:r>
      <w:r>
        <w:rPr>
          <w:rFonts w:hint="eastAsia" w:asciiTheme="minorEastAsia" w:eastAsiaTheme="minorEastAsia"/>
          <w:bCs/>
        </w:rPr>
        <w:t>M5</w:t>
      </w:r>
      <w:r>
        <w:rPr>
          <w:rFonts w:ascii="Times New Roman" w:hAnsi="Times New Roman" w:cs="Times New Roman" w:eastAsiaTheme="minorEastAsia"/>
          <w:bCs/>
        </w:rPr>
        <w:t>~</w:t>
      </w:r>
      <w:r>
        <w:rPr>
          <w:rFonts w:hint="eastAsia" w:asciiTheme="minorEastAsia" w:eastAsiaTheme="minorEastAsia"/>
          <w:bCs/>
        </w:rPr>
        <w:t>M20</w:t>
      </w:r>
      <w:r>
        <w:rPr>
          <w:rFonts w:hint="eastAsia" w:hAnsi="宋体"/>
        </w:rPr>
        <w:t>玻璃再生细骨料砂浆，玻璃再生细骨料取代率分别为0%、20%、40%、60%，验证了M5</w:t>
      </w:r>
      <w:r>
        <w:rPr>
          <w:rFonts w:ascii="Times New Roman" w:hAnsi="Times New Roman" w:cs="Times New Roman"/>
        </w:rPr>
        <w:t>~</w:t>
      </w:r>
      <w:r>
        <w:rPr>
          <w:rFonts w:hint="eastAsia" w:hAnsi="宋体"/>
        </w:rPr>
        <w:t>M10陶瓷再生细骨料砂浆，陶瓷再生细骨料取代率分别为0%、10%、20%、30%试验结果如表6</w:t>
      </w:r>
      <w:r>
        <w:rPr>
          <w:rFonts w:hAnsi="宋体"/>
        </w:rPr>
        <w:t>.1.3</w:t>
      </w:r>
      <w:r>
        <w:rPr>
          <w:rFonts w:hint="eastAsia" w:hAnsi="宋体"/>
        </w:rPr>
        <w:t>。</w:t>
      </w:r>
    </w:p>
    <w:p>
      <w:pPr>
        <w:tabs>
          <w:tab w:val="left" w:pos="-117"/>
          <w:tab w:val="left" w:pos="0"/>
        </w:tabs>
        <w:spacing w:line="360" w:lineRule="auto"/>
        <w:ind w:left="420"/>
        <w:jc w:val="center"/>
      </w:pPr>
      <w:r>
        <w:rPr>
          <w:rFonts w:hint="eastAsia"/>
        </w:rPr>
        <w:t>表</w:t>
      </w:r>
      <w:r>
        <w:t>6.1.3 玻璃/陶瓷再生细骨料</w:t>
      </w:r>
      <w:r>
        <w:rPr>
          <w:rFonts w:hint="eastAsia"/>
        </w:rPr>
        <w:t>砂浆试验结果</w:t>
      </w:r>
    </w:p>
    <w:tbl>
      <w:tblPr>
        <w:tblStyle w:val="18"/>
        <w:tblW w:w="797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BF1FA" w:themeFill="background1"/>
        <w:tblLayout w:type="fixed"/>
        <w:tblCellMar>
          <w:top w:w="0" w:type="dxa"/>
          <w:left w:w="108" w:type="dxa"/>
          <w:bottom w:w="0" w:type="dxa"/>
          <w:right w:w="108" w:type="dxa"/>
        </w:tblCellMar>
      </w:tblPr>
      <w:tblGrid>
        <w:gridCol w:w="1068"/>
        <w:gridCol w:w="920"/>
        <w:gridCol w:w="929"/>
        <w:gridCol w:w="929"/>
        <w:gridCol w:w="929"/>
        <w:gridCol w:w="929"/>
        <w:gridCol w:w="1136"/>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BF1FA" w:themeFill="background1"/>
          <w:tblLayout w:type="fixed"/>
          <w:tblCellMar>
            <w:top w:w="0" w:type="dxa"/>
            <w:left w:w="108" w:type="dxa"/>
            <w:bottom w:w="0" w:type="dxa"/>
            <w:right w:w="108" w:type="dxa"/>
          </w:tblCellMar>
        </w:tblPrEx>
        <w:trPr>
          <w:trHeight w:val="313" w:hRule="atLeast"/>
          <w:jc w:val="center"/>
        </w:trPr>
        <w:tc>
          <w:tcPr>
            <w:tcW w:w="1068" w:type="dxa"/>
            <w:shd w:val="clear" w:color="auto" w:fill="EBF1FA" w:themeFill="background1"/>
            <w:noWrap/>
            <w:vAlign w:val="center"/>
          </w:tcPr>
          <w:p>
            <w:pPr>
              <w:widowControl/>
              <w:jc w:val="center"/>
              <w:rPr>
                <w:rFonts w:cs="宋体"/>
                <w:kern w:val="0"/>
                <w:szCs w:val="21"/>
              </w:rPr>
            </w:pPr>
            <w:r>
              <w:rPr>
                <w:rFonts w:hint="eastAsia" w:cs="宋体"/>
                <w:kern w:val="0"/>
                <w:szCs w:val="21"/>
              </w:rPr>
              <w:t>类型</w:t>
            </w:r>
          </w:p>
        </w:tc>
        <w:tc>
          <w:tcPr>
            <w:tcW w:w="920" w:type="dxa"/>
            <w:shd w:val="clear" w:color="auto" w:fill="EBF1FA" w:themeFill="background1"/>
            <w:noWrap/>
            <w:vAlign w:val="center"/>
          </w:tcPr>
          <w:p>
            <w:pPr>
              <w:widowControl/>
              <w:jc w:val="center"/>
              <w:rPr>
                <w:rFonts w:cs="宋体"/>
                <w:kern w:val="0"/>
                <w:szCs w:val="21"/>
              </w:rPr>
            </w:pPr>
            <w:r>
              <w:rPr>
                <w:rFonts w:hint="eastAsia" w:cs="宋体"/>
                <w:kern w:val="0"/>
                <w:szCs w:val="21"/>
              </w:rPr>
              <w:t>强度</w:t>
            </w:r>
          </w:p>
          <w:p>
            <w:pPr>
              <w:widowControl/>
              <w:jc w:val="center"/>
              <w:rPr>
                <w:rFonts w:cs="宋体"/>
                <w:kern w:val="0"/>
                <w:szCs w:val="21"/>
              </w:rPr>
            </w:pPr>
            <w:r>
              <w:rPr>
                <w:rFonts w:hint="eastAsia" w:cs="宋体"/>
                <w:kern w:val="0"/>
                <w:szCs w:val="21"/>
              </w:rPr>
              <w:t>等级</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取代率</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稠度</w:t>
            </w:r>
            <w:r>
              <w:rPr>
                <w:rFonts w:cs="宋体"/>
                <w:kern w:val="0"/>
                <w:szCs w:val="21"/>
              </w:rPr>
              <w:br w:type="textWrapping"/>
            </w:r>
            <w:r>
              <w:rPr>
                <w:rFonts w:hint="eastAsia" w:cs="宋体"/>
                <w:kern w:val="0"/>
                <w:szCs w:val="21"/>
              </w:rPr>
              <w:t>mm</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保水率</w:t>
            </w:r>
            <w:r>
              <w:rPr>
                <w:rFonts w:cs="宋体"/>
                <w:kern w:val="0"/>
                <w:szCs w:val="21"/>
              </w:rPr>
              <w:br w:type="textWrapping"/>
            </w:r>
            <w:r>
              <w:rPr>
                <w:rFonts w:hint="eastAsia" w:cs="宋体"/>
                <w:kern w:val="0"/>
                <w:szCs w:val="21"/>
              </w:rPr>
              <w:t>%</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容重</w:t>
            </w:r>
            <w:r>
              <w:rPr>
                <w:rFonts w:cs="宋体"/>
                <w:kern w:val="0"/>
                <w:szCs w:val="21"/>
              </w:rPr>
              <w:t>kg</w:t>
            </w:r>
            <w:r>
              <w:rPr>
                <w:rFonts w:hint="eastAsia" w:cs="宋体"/>
                <w:kern w:val="0"/>
                <w:szCs w:val="21"/>
              </w:rPr>
              <w:t>/m³</w:t>
            </w:r>
          </w:p>
        </w:tc>
        <w:tc>
          <w:tcPr>
            <w:tcW w:w="1136" w:type="dxa"/>
            <w:shd w:val="clear" w:color="auto" w:fill="EBF1FA" w:themeFill="background1"/>
            <w:noWrap/>
            <w:vAlign w:val="center"/>
          </w:tcPr>
          <w:p>
            <w:pPr>
              <w:widowControl/>
              <w:jc w:val="center"/>
              <w:rPr>
                <w:rFonts w:cs="宋体"/>
                <w:kern w:val="0"/>
                <w:szCs w:val="21"/>
              </w:rPr>
            </w:pPr>
            <w:r>
              <w:rPr>
                <w:rFonts w:hint="eastAsia" w:cs="宋体"/>
                <w:kern w:val="0"/>
                <w:szCs w:val="21"/>
              </w:rPr>
              <w:t>7d强度</w:t>
            </w:r>
            <w:r>
              <w:rPr>
                <w:rFonts w:cs="宋体"/>
                <w:kern w:val="0"/>
                <w:szCs w:val="21"/>
              </w:rPr>
              <w:br w:type="textWrapping"/>
            </w:r>
            <w:r>
              <w:rPr>
                <w:rFonts w:hint="eastAsia" w:cs="宋体"/>
                <w:kern w:val="0"/>
                <w:szCs w:val="21"/>
              </w:rPr>
              <w:t>MPa</w:t>
            </w:r>
          </w:p>
        </w:tc>
        <w:tc>
          <w:tcPr>
            <w:tcW w:w="1134" w:type="dxa"/>
            <w:shd w:val="clear" w:color="auto" w:fill="EBF1FA" w:themeFill="background1"/>
            <w:noWrap/>
            <w:vAlign w:val="center"/>
          </w:tcPr>
          <w:p>
            <w:pPr>
              <w:widowControl/>
              <w:jc w:val="center"/>
              <w:rPr>
                <w:rFonts w:cs="宋体"/>
                <w:kern w:val="0"/>
                <w:szCs w:val="21"/>
              </w:rPr>
            </w:pPr>
            <w:r>
              <w:rPr>
                <w:rFonts w:hint="eastAsia" w:cs="宋体"/>
                <w:kern w:val="0"/>
                <w:szCs w:val="21"/>
              </w:rPr>
              <w:t>28d强度</w:t>
            </w:r>
            <w:r>
              <w:rPr>
                <w:rFonts w:cs="宋体"/>
                <w:kern w:val="0"/>
                <w:szCs w:val="21"/>
              </w:rPr>
              <w:br w:type="textWrapping"/>
            </w:r>
            <w:r>
              <w:rPr>
                <w:rFonts w:hint="eastAsia" w:cs="宋体"/>
                <w:kern w:val="0"/>
                <w:szCs w:val="21"/>
              </w:rPr>
              <w:t>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restart"/>
            <w:shd w:val="clear" w:color="auto" w:fill="EBF1FA" w:themeFill="background1"/>
            <w:noWrap/>
            <w:vAlign w:val="center"/>
          </w:tcPr>
          <w:p>
            <w:pPr>
              <w:jc w:val="center"/>
              <w:rPr>
                <w:rFonts w:cs="宋体"/>
                <w:kern w:val="0"/>
                <w:szCs w:val="21"/>
              </w:rPr>
            </w:pPr>
            <w:r>
              <w:rPr>
                <w:rFonts w:hint="eastAsia" w:cs="宋体"/>
                <w:kern w:val="0"/>
                <w:szCs w:val="21"/>
              </w:rPr>
              <w:t>玻璃再生细骨料</w:t>
            </w:r>
          </w:p>
        </w:tc>
        <w:tc>
          <w:tcPr>
            <w:tcW w:w="920" w:type="dxa"/>
            <w:vMerge w:val="restart"/>
            <w:shd w:val="clear" w:color="auto" w:fill="EBF1FA" w:themeFill="background1"/>
            <w:noWrap/>
            <w:vAlign w:val="center"/>
          </w:tcPr>
          <w:p>
            <w:pPr>
              <w:widowControl/>
              <w:jc w:val="center"/>
              <w:rPr>
                <w:rFonts w:cs="宋体"/>
                <w:kern w:val="0"/>
                <w:szCs w:val="21"/>
              </w:rPr>
            </w:pPr>
            <w:r>
              <w:rPr>
                <w:rFonts w:hint="eastAsia" w:cs="宋体"/>
                <w:kern w:val="0"/>
                <w:szCs w:val="21"/>
              </w:rPr>
              <w:t>M5</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80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92.2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1795</w:t>
            </w:r>
          </w:p>
        </w:tc>
        <w:tc>
          <w:tcPr>
            <w:tcW w:w="1136" w:type="dxa"/>
            <w:shd w:val="clear" w:color="auto" w:fill="EBF1FA" w:themeFill="background1"/>
            <w:noWrap/>
          </w:tcPr>
          <w:p>
            <w:pPr>
              <w:widowControl/>
              <w:jc w:val="center"/>
              <w:rPr>
                <w:rFonts w:cs="宋体"/>
                <w:kern w:val="0"/>
                <w:szCs w:val="21"/>
              </w:rPr>
            </w:pPr>
            <w:r>
              <w:t xml:space="preserve">3.7 </w:t>
            </w:r>
          </w:p>
        </w:tc>
        <w:tc>
          <w:tcPr>
            <w:tcW w:w="1134" w:type="dxa"/>
            <w:shd w:val="clear" w:color="auto" w:fill="EBF1FA" w:themeFill="background1"/>
            <w:noWrap/>
          </w:tcPr>
          <w:p>
            <w:pPr>
              <w:widowControl/>
              <w:jc w:val="center"/>
              <w:rPr>
                <w:rFonts w:cs="宋体"/>
                <w:kern w:val="0"/>
                <w:szCs w:val="21"/>
              </w:rPr>
            </w:pPr>
            <w:r>
              <w:t xml:space="preserve">7.6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continue"/>
            <w:shd w:val="clear" w:color="auto" w:fill="EBF1FA" w:themeFill="background1"/>
            <w:noWrap/>
            <w:vAlign w:val="center"/>
          </w:tcPr>
          <w:p>
            <w:pPr>
              <w:jc w:val="center"/>
              <w:rPr>
                <w:rFonts w:cs="宋体"/>
                <w:kern w:val="0"/>
                <w:szCs w:val="21"/>
              </w:rPr>
            </w:pPr>
          </w:p>
        </w:tc>
        <w:tc>
          <w:tcPr>
            <w:tcW w:w="920" w:type="dxa"/>
            <w:vMerge w:val="continue"/>
            <w:shd w:val="clear" w:color="auto" w:fill="EBF1FA" w:themeFill="background1"/>
            <w:noWrap/>
            <w:vAlign w:val="center"/>
          </w:tcPr>
          <w:p>
            <w:pPr>
              <w:jc w:val="center"/>
              <w:rPr>
                <w:rFonts w:cs="宋体"/>
                <w:kern w:val="0"/>
                <w:szCs w:val="21"/>
              </w:rPr>
            </w:pP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20%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74</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91.0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1780</w:t>
            </w:r>
          </w:p>
        </w:tc>
        <w:tc>
          <w:tcPr>
            <w:tcW w:w="1136" w:type="dxa"/>
            <w:shd w:val="clear" w:color="auto" w:fill="EBF1FA" w:themeFill="background1"/>
            <w:noWrap/>
          </w:tcPr>
          <w:p>
            <w:pPr>
              <w:widowControl/>
              <w:jc w:val="center"/>
              <w:rPr>
                <w:rFonts w:cs="宋体"/>
                <w:kern w:val="0"/>
                <w:szCs w:val="21"/>
              </w:rPr>
            </w:pPr>
            <w:r>
              <w:t xml:space="preserve">3.5 </w:t>
            </w:r>
          </w:p>
        </w:tc>
        <w:tc>
          <w:tcPr>
            <w:tcW w:w="1134" w:type="dxa"/>
            <w:shd w:val="clear" w:color="auto" w:fill="EBF1FA" w:themeFill="background1"/>
            <w:noWrap/>
          </w:tcPr>
          <w:p>
            <w:pPr>
              <w:widowControl/>
              <w:jc w:val="center"/>
              <w:rPr>
                <w:rFonts w:cs="宋体"/>
                <w:kern w:val="0"/>
                <w:szCs w:val="21"/>
              </w:rPr>
            </w:pPr>
            <w:r>
              <w:t xml:space="preserve">7.2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continue"/>
            <w:shd w:val="clear" w:color="auto" w:fill="EBF1FA" w:themeFill="background1"/>
            <w:noWrap/>
            <w:vAlign w:val="center"/>
          </w:tcPr>
          <w:p>
            <w:pPr>
              <w:jc w:val="center"/>
              <w:rPr>
                <w:rFonts w:cs="宋体"/>
                <w:kern w:val="0"/>
                <w:szCs w:val="21"/>
              </w:rPr>
            </w:pPr>
          </w:p>
        </w:tc>
        <w:tc>
          <w:tcPr>
            <w:tcW w:w="920" w:type="dxa"/>
            <w:vMerge w:val="continue"/>
            <w:shd w:val="clear" w:color="auto" w:fill="EBF1FA" w:themeFill="background1"/>
            <w:noWrap/>
            <w:vAlign w:val="center"/>
          </w:tcPr>
          <w:p>
            <w:pPr>
              <w:jc w:val="center"/>
              <w:rPr>
                <w:rFonts w:cs="宋体"/>
                <w:kern w:val="0"/>
                <w:szCs w:val="21"/>
              </w:rPr>
            </w:pP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40%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76</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89.4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1750</w:t>
            </w:r>
          </w:p>
        </w:tc>
        <w:tc>
          <w:tcPr>
            <w:tcW w:w="1136" w:type="dxa"/>
            <w:shd w:val="clear" w:color="auto" w:fill="EBF1FA" w:themeFill="background1"/>
            <w:noWrap/>
          </w:tcPr>
          <w:p>
            <w:pPr>
              <w:widowControl/>
              <w:jc w:val="center"/>
              <w:rPr>
                <w:rFonts w:cs="宋体"/>
                <w:kern w:val="0"/>
                <w:szCs w:val="21"/>
              </w:rPr>
            </w:pPr>
            <w:r>
              <w:t xml:space="preserve">3.4 </w:t>
            </w:r>
          </w:p>
        </w:tc>
        <w:tc>
          <w:tcPr>
            <w:tcW w:w="1134" w:type="dxa"/>
            <w:shd w:val="clear" w:color="auto" w:fill="EBF1FA" w:themeFill="background1"/>
            <w:noWrap/>
          </w:tcPr>
          <w:p>
            <w:pPr>
              <w:widowControl/>
              <w:jc w:val="center"/>
              <w:rPr>
                <w:rFonts w:cs="宋体"/>
                <w:kern w:val="0"/>
                <w:szCs w:val="21"/>
              </w:rPr>
            </w:pPr>
            <w:r>
              <w:t xml:space="preserve">7.0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continue"/>
            <w:shd w:val="clear" w:color="auto" w:fill="EBF1FA" w:themeFill="background1"/>
            <w:noWrap/>
            <w:vAlign w:val="center"/>
          </w:tcPr>
          <w:p>
            <w:pPr>
              <w:jc w:val="center"/>
              <w:rPr>
                <w:rFonts w:cs="宋体"/>
                <w:kern w:val="0"/>
                <w:szCs w:val="21"/>
              </w:rPr>
            </w:pPr>
          </w:p>
        </w:tc>
        <w:tc>
          <w:tcPr>
            <w:tcW w:w="920" w:type="dxa"/>
            <w:vMerge w:val="continue"/>
            <w:shd w:val="clear" w:color="auto" w:fill="EBF1FA" w:themeFill="background1"/>
            <w:noWrap/>
            <w:vAlign w:val="center"/>
          </w:tcPr>
          <w:p>
            <w:pPr>
              <w:widowControl/>
              <w:jc w:val="center"/>
              <w:rPr>
                <w:rFonts w:cs="宋体"/>
                <w:kern w:val="0"/>
                <w:szCs w:val="21"/>
              </w:rPr>
            </w:pP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60%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78</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89.0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1740</w:t>
            </w:r>
          </w:p>
        </w:tc>
        <w:tc>
          <w:tcPr>
            <w:tcW w:w="1136" w:type="dxa"/>
            <w:shd w:val="clear" w:color="auto" w:fill="EBF1FA" w:themeFill="background1"/>
            <w:noWrap/>
          </w:tcPr>
          <w:p>
            <w:pPr>
              <w:widowControl/>
              <w:jc w:val="center"/>
              <w:rPr>
                <w:rFonts w:cs="宋体"/>
                <w:kern w:val="0"/>
                <w:szCs w:val="21"/>
              </w:rPr>
            </w:pPr>
            <w:r>
              <w:t xml:space="preserve">3.4 </w:t>
            </w:r>
          </w:p>
        </w:tc>
        <w:tc>
          <w:tcPr>
            <w:tcW w:w="1134" w:type="dxa"/>
            <w:shd w:val="clear" w:color="auto" w:fill="EBF1FA" w:themeFill="background1"/>
            <w:noWrap/>
          </w:tcPr>
          <w:p>
            <w:pPr>
              <w:widowControl/>
              <w:jc w:val="center"/>
              <w:rPr>
                <w:rFonts w:cs="宋体"/>
                <w:kern w:val="0"/>
                <w:szCs w:val="21"/>
              </w:rPr>
            </w:pPr>
            <w:r>
              <w:t xml:space="preserve">6.5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continue"/>
            <w:shd w:val="clear" w:color="auto" w:fill="EBF1FA" w:themeFill="background1"/>
            <w:noWrap/>
            <w:vAlign w:val="center"/>
          </w:tcPr>
          <w:p>
            <w:pPr>
              <w:jc w:val="center"/>
              <w:rPr>
                <w:rFonts w:cs="宋体"/>
                <w:kern w:val="0"/>
                <w:szCs w:val="21"/>
              </w:rPr>
            </w:pPr>
          </w:p>
        </w:tc>
        <w:tc>
          <w:tcPr>
            <w:tcW w:w="920" w:type="dxa"/>
            <w:vMerge w:val="restart"/>
            <w:shd w:val="clear" w:color="auto" w:fill="EBF1FA" w:themeFill="background1"/>
            <w:noWrap/>
            <w:vAlign w:val="center"/>
          </w:tcPr>
          <w:p>
            <w:pPr>
              <w:widowControl/>
              <w:jc w:val="center"/>
              <w:rPr>
                <w:rFonts w:cs="宋体"/>
                <w:kern w:val="0"/>
                <w:szCs w:val="21"/>
              </w:rPr>
            </w:pPr>
            <w:r>
              <w:rPr>
                <w:rFonts w:hint="eastAsia" w:cs="宋体"/>
                <w:kern w:val="0"/>
                <w:szCs w:val="21"/>
              </w:rPr>
              <w:t>M7.5</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78</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93.4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1805</w:t>
            </w:r>
          </w:p>
        </w:tc>
        <w:tc>
          <w:tcPr>
            <w:tcW w:w="1136" w:type="dxa"/>
            <w:shd w:val="clear" w:color="auto" w:fill="EBF1FA" w:themeFill="background1"/>
            <w:noWrap/>
          </w:tcPr>
          <w:p>
            <w:pPr>
              <w:widowControl/>
              <w:jc w:val="center"/>
              <w:rPr>
                <w:rFonts w:cs="宋体"/>
                <w:kern w:val="0"/>
                <w:szCs w:val="21"/>
              </w:rPr>
            </w:pPr>
            <w:r>
              <w:t xml:space="preserve">5.4 </w:t>
            </w:r>
          </w:p>
        </w:tc>
        <w:tc>
          <w:tcPr>
            <w:tcW w:w="1134" w:type="dxa"/>
            <w:shd w:val="clear" w:color="auto" w:fill="EBF1FA" w:themeFill="background1"/>
            <w:noWrap/>
          </w:tcPr>
          <w:p>
            <w:pPr>
              <w:widowControl/>
              <w:jc w:val="center"/>
              <w:rPr>
                <w:rFonts w:cs="宋体"/>
                <w:kern w:val="0"/>
                <w:szCs w:val="21"/>
              </w:rPr>
            </w:pPr>
            <w:r>
              <w:t xml:space="preserve">9.3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continue"/>
            <w:shd w:val="clear" w:color="auto" w:fill="EBF1FA" w:themeFill="background1"/>
            <w:noWrap/>
            <w:vAlign w:val="center"/>
          </w:tcPr>
          <w:p>
            <w:pPr>
              <w:jc w:val="center"/>
              <w:rPr>
                <w:rFonts w:cs="宋体"/>
                <w:kern w:val="0"/>
                <w:szCs w:val="21"/>
              </w:rPr>
            </w:pPr>
          </w:p>
        </w:tc>
        <w:tc>
          <w:tcPr>
            <w:tcW w:w="920" w:type="dxa"/>
            <w:vMerge w:val="continue"/>
            <w:shd w:val="clear" w:color="auto" w:fill="EBF1FA" w:themeFill="background1"/>
            <w:noWrap/>
            <w:vAlign w:val="center"/>
          </w:tcPr>
          <w:p>
            <w:pPr>
              <w:jc w:val="center"/>
              <w:rPr>
                <w:rFonts w:cs="宋体"/>
                <w:kern w:val="0"/>
                <w:szCs w:val="21"/>
              </w:rPr>
            </w:pP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20%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70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92.2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1780</w:t>
            </w:r>
          </w:p>
        </w:tc>
        <w:tc>
          <w:tcPr>
            <w:tcW w:w="1136" w:type="dxa"/>
            <w:shd w:val="clear" w:color="auto" w:fill="EBF1FA" w:themeFill="background1"/>
            <w:noWrap/>
          </w:tcPr>
          <w:p>
            <w:pPr>
              <w:widowControl/>
              <w:jc w:val="center"/>
              <w:rPr>
                <w:rFonts w:cs="宋体"/>
                <w:kern w:val="0"/>
                <w:szCs w:val="21"/>
              </w:rPr>
            </w:pPr>
            <w:r>
              <w:t xml:space="preserve">4.6 </w:t>
            </w:r>
          </w:p>
        </w:tc>
        <w:tc>
          <w:tcPr>
            <w:tcW w:w="1134" w:type="dxa"/>
            <w:shd w:val="clear" w:color="auto" w:fill="EBF1FA" w:themeFill="background1"/>
            <w:noWrap/>
          </w:tcPr>
          <w:p>
            <w:pPr>
              <w:widowControl/>
              <w:jc w:val="center"/>
              <w:rPr>
                <w:rFonts w:cs="宋体"/>
                <w:kern w:val="0"/>
                <w:szCs w:val="21"/>
              </w:rPr>
            </w:pPr>
            <w:r>
              <w:t xml:space="preserve">9.8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continue"/>
            <w:shd w:val="clear" w:color="auto" w:fill="EBF1FA" w:themeFill="background1"/>
            <w:noWrap/>
            <w:vAlign w:val="center"/>
          </w:tcPr>
          <w:p>
            <w:pPr>
              <w:jc w:val="center"/>
              <w:rPr>
                <w:rFonts w:cs="宋体"/>
                <w:kern w:val="0"/>
                <w:szCs w:val="21"/>
              </w:rPr>
            </w:pPr>
          </w:p>
        </w:tc>
        <w:tc>
          <w:tcPr>
            <w:tcW w:w="920" w:type="dxa"/>
            <w:vMerge w:val="continue"/>
            <w:shd w:val="clear" w:color="auto" w:fill="EBF1FA" w:themeFill="background1"/>
            <w:noWrap/>
            <w:vAlign w:val="center"/>
          </w:tcPr>
          <w:p>
            <w:pPr>
              <w:jc w:val="center"/>
              <w:rPr>
                <w:rFonts w:cs="宋体"/>
                <w:kern w:val="0"/>
                <w:szCs w:val="21"/>
              </w:rPr>
            </w:pP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40%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72</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91.4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1760</w:t>
            </w:r>
          </w:p>
        </w:tc>
        <w:tc>
          <w:tcPr>
            <w:tcW w:w="1136" w:type="dxa"/>
            <w:shd w:val="clear" w:color="auto" w:fill="EBF1FA" w:themeFill="background1"/>
            <w:noWrap/>
          </w:tcPr>
          <w:p>
            <w:pPr>
              <w:widowControl/>
              <w:jc w:val="center"/>
              <w:rPr>
                <w:rFonts w:cs="宋体"/>
                <w:kern w:val="0"/>
                <w:szCs w:val="21"/>
              </w:rPr>
            </w:pPr>
            <w:r>
              <w:t xml:space="preserve">4.5 </w:t>
            </w:r>
          </w:p>
        </w:tc>
        <w:tc>
          <w:tcPr>
            <w:tcW w:w="1134" w:type="dxa"/>
            <w:shd w:val="clear" w:color="auto" w:fill="EBF1FA" w:themeFill="background1"/>
            <w:noWrap/>
          </w:tcPr>
          <w:p>
            <w:pPr>
              <w:widowControl/>
              <w:jc w:val="center"/>
              <w:rPr>
                <w:rFonts w:cs="宋体"/>
                <w:kern w:val="0"/>
                <w:szCs w:val="21"/>
              </w:rPr>
            </w:pPr>
            <w:r>
              <w:t xml:space="preserve">9.0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continue"/>
            <w:shd w:val="clear" w:color="auto" w:fill="EBF1FA" w:themeFill="background1"/>
            <w:noWrap/>
            <w:vAlign w:val="center"/>
          </w:tcPr>
          <w:p>
            <w:pPr>
              <w:jc w:val="center"/>
              <w:rPr>
                <w:rFonts w:cs="宋体"/>
                <w:kern w:val="0"/>
                <w:szCs w:val="21"/>
              </w:rPr>
            </w:pPr>
          </w:p>
        </w:tc>
        <w:tc>
          <w:tcPr>
            <w:tcW w:w="920" w:type="dxa"/>
            <w:vMerge w:val="continue"/>
            <w:shd w:val="clear" w:color="auto" w:fill="EBF1FA" w:themeFill="background1"/>
            <w:noWrap/>
            <w:vAlign w:val="center"/>
          </w:tcPr>
          <w:p>
            <w:pPr>
              <w:widowControl/>
              <w:jc w:val="center"/>
              <w:rPr>
                <w:rFonts w:cs="宋体"/>
                <w:kern w:val="0"/>
                <w:szCs w:val="21"/>
              </w:rPr>
            </w:pP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60%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86</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90.3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1730</w:t>
            </w:r>
          </w:p>
        </w:tc>
        <w:tc>
          <w:tcPr>
            <w:tcW w:w="1136" w:type="dxa"/>
            <w:shd w:val="clear" w:color="auto" w:fill="EBF1FA" w:themeFill="background1"/>
            <w:noWrap/>
          </w:tcPr>
          <w:p>
            <w:pPr>
              <w:widowControl/>
              <w:jc w:val="center"/>
              <w:rPr>
                <w:rFonts w:cs="宋体"/>
                <w:kern w:val="0"/>
                <w:szCs w:val="21"/>
              </w:rPr>
            </w:pPr>
            <w:r>
              <w:t xml:space="preserve">3.1 </w:t>
            </w:r>
          </w:p>
        </w:tc>
        <w:tc>
          <w:tcPr>
            <w:tcW w:w="1134" w:type="dxa"/>
            <w:shd w:val="clear" w:color="auto" w:fill="EBF1FA" w:themeFill="background1"/>
            <w:noWrap/>
          </w:tcPr>
          <w:p>
            <w:pPr>
              <w:widowControl/>
              <w:jc w:val="center"/>
              <w:rPr>
                <w:rFonts w:cs="宋体"/>
                <w:kern w:val="0"/>
                <w:szCs w:val="21"/>
              </w:rPr>
            </w:pPr>
            <w:r>
              <w:t xml:space="preserve">7.2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continue"/>
            <w:shd w:val="clear" w:color="auto" w:fill="EBF1FA" w:themeFill="background1"/>
            <w:noWrap/>
            <w:vAlign w:val="center"/>
          </w:tcPr>
          <w:p>
            <w:pPr>
              <w:jc w:val="center"/>
              <w:rPr>
                <w:rFonts w:cs="宋体"/>
                <w:kern w:val="0"/>
                <w:szCs w:val="21"/>
              </w:rPr>
            </w:pPr>
          </w:p>
        </w:tc>
        <w:tc>
          <w:tcPr>
            <w:tcW w:w="920" w:type="dxa"/>
            <w:vMerge w:val="restart"/>
            <w:shd w:val="clear" w:color="auto" w:fill="EBF1FA" w:themeFill="background1"/>
            <w:noWrap/>
            <w:vAlign w:val="center"/>
          </w:tcPr>
          <w:p>
            <w:pPr>
              <w:widowControl/>
              <w:jc w:val="center"/>
              <w:rPr>
                <w:rFonts w:cs="宋体"/>
                <w:kern w:val="0"/>
                <w:szCs w:val="21"/>
              </w:rPr>
            </w:pPr>
            <w:r>
              <w:rPr>
                <w:rFonts w:hint="eastAsia" w:cs="宋体"/>
                <w:kern w:val="0"/>
                <w:szCs w:val="21"/>
              </w:rPr>
              <w:t>M10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81</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94.8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1805</w:t>
            </w:r>
          </w:p>
        </w:tc>
        <w:tc>
          <w:tcPr>
            <w:tcW w:w="1136" w:type="dxa"/>
            <w:shd w:val="clear" w:color="auto" w:fill="EBF1FA" w:themeFill="background1"/>
            <w:noWrap/>
          </w:tcPr>
          <w:p>
            <w:pPr>
              <w:widowControl/>
              <w:jc w:val="center"/>
              <w:rPr>
                <w:rFonts w:cs="宋体"/>
                <w:kern w:val="0"/>
                <w:szCs w:val="21"/>
              </w:rPr>
            </w:pPr>
            <w:r>
              <w:t xml:space="preserve">6.1 </w:t>
            </w:r>
          </w:p>
        </w:tc>
        <w:tc>
          <w:tcPr>
            <w:tcW w:w="1134" w:type="dxa"/>
            <w:shd w:val="clear" w:color="auto" w:fill="EBF1FA" w:themeFill="background1"/>
            <w:noWrap/>
          </w:tcPr>
          <w:p>
            <w:pPr>
              <w:widowControl/>
              <w:jc w:val="center"/>
              <w:rPr>
                <w:rFonts w:cs="宋体"/>
                <w:kern w:val="0"/>
                <w:szCs w:val="21"/>
              </w:rPr>
            </w:pPr>
            <w:r>
              <w:t xml:space="preserve">12.9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continue"/>
            <w:shd w:val="clear" w:color="auto" w:fill="EBF1FA" w:themeFill="background1"/>
            <w:noWrap/>
            <w:vAlign w:val="center"/>
          </w:tcPr>
          <w:p>
            <w:pPr>
              <w:jc w:val="center"/>
              <w:rPr>
                <w:rFonts w:cs="宋体"/>
                <w:kern w:val="0"/>
                <w:szCs w:val="21"/>
              </w:rPr>
            </w:pPr>
          </w:p>
        </w:tc>
        <w:tc>
          <w:tcPr>
            <w:tcW w:w="920" w:type="dxa"/>
            <w:vMerge w:val="continue"/>
            <w:shd w:val="clear" w:color="auto" w:fill="EBF1FA" w:themeFill="background1"/>
            <w:noWrap/>
            <w:vAlign w:val="center"/>
          </w:tcPr>
          <w:p>
            <w:pPr>
              <w:widowControl/>
              <w:jc w:val="center"/>
              <w:rPr>
                <w:rFonts w:cs="宋体"/>
                <w:kern w:val="0"/>
                <w:szCs w:val="21"/>
              </w:rPr>
            </w:pP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20%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80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93.0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1780</w:t>
            </w:r>
          </w:p>
        </w:tc>
        <w:tc>
          <w:tcPr>
            <w:tcW w:w="1136" w:type="dxa"/>
            <w:shd w:val="clear" w:color="auto" w:fill="EBF1FA" w:themeFill="background1"/>
            <w:noWrap/>
          </w:tcPr>
          <w:p>
            <w:pPr>
              <w:widowControl/>
              <w:jc w:val="center"/>
              <w:rPr>
                <w:rFonts w:cs="宋体"/>
                <w:kern w:val="0"/>
                <w:szCs w:val="21"/>
              </w:rPr>
            </w:pPr>
            <w:r>
              <w:t xml:space="preserve">5.8 </w:t>
            </w:r>
          </w:p>
        </w:tc>
        <w:tc>
          <w:tcPr>
            <w:tcW w:w="1134" w:type="dxa"/>
            <w:shd w:val="clear" w:color="auto" w:fill="EBF1FA" w:themeFill="background1"/>
            <w:noWrap/>
          </w:tcPr>
          <w:p>
            <w:pPr>
              <w:widowControl/>
              <w:jc w:val="center"/>
              <w:rPr>
                <w:rFonts w:cs="宋体"/>
                <w:kern w:val="0"/>
                <w:szCs w:val="21"/>
              </w:rPr>
            </w:pPr>
            <w:r>
              <w:t xml:space="preserve">12.6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continue"/>
            <w:shd w:val="clear" w:color="auto" w:fill="EBF1FA" w:themeFill="background1"/>
            <w:noWrap/>
            <w:vAlign w:val="center"/>
          </w:tcPr>
          <w:p>
            <w:pPr>
              <w:jc w:val="center"/>
              <w:rPr>
                <w:rFonts w:cs="宋体"/>
                <w:kern w:val="0"/>
                <w:szCs w:val="21"/>
              </w:rPr>
            </w:pPr>
          </w:p>
        </w:tc>
        <w:tc>
          <w:tcPr>
            <w:tcW w:w="920" w:type="dxa"/>
            <w:vMerge w:val="continue"/>
            <w:shd w:val="clear" w:color="auto" w:fill="EBF1FA" w:themeFill="background1"/>
            <w:noWrap/>
            <w:vAlign w:val="center"/>
          </w:tcPr>
          <w:p>
            <w:pPr>
              <w:jc w:val="center"/>
              <w:rPr>
                <w:rFonts w:cs="宋体"/>
                <w:kern w:val="0"/>
                <w:szCs w:val="21"/>
              </w:rPr>
            </w:pP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40%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83</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92.5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1760</w:t>
            </w:r>
          </w:p>
        </w:tc>
        <w:tc>
          <w:tcPr>
            <w:tcW w:w="1136" w:type="dxa"/>
            <w:shd w:val="clear" w:color="auto" w:fill="EBF1FA" w:themeFill="background1"/>
            <w:noWrap/>
          </w:tcPr>
          <w:p>
            <w:pPr>
              <w:widowControl/>
              <w:jc w:val="center"/>
              <w:rPr>
                <w:rFonts w:cs="宋体"/>
                <w:kern w:val="0"/>
                <w:szCs w:val="21"/>
              </w:rPr>
            </w:pPr>
            <w:r>
              <w:t xml:space="preserve">5.3 </w:t>
            </w:r>
          </w:p>
        </w:tc>
        <w:tc>
          <w:tcPr>
            <w:tcW w:w="1134" w:type="dxa"/>
            <w:shd w:val="clear" w:color="auto" w:fill="EBF1FA" w:themeFill="background1"/>
            <w:noWrap/>
          </w:tcPr>
          <w:p>
            <w:pPr>
              <w:widowControl/>
              <w:jc w:val="center"/>
              <w:rPr>
                <w:rFonts w:cs="宋体"/>
                <w:kern w:val="0"/>
                <w:szCs w:val="21"/>
              </w:rPr>
            </w:pPr>
            <w:r>
              <w:t xml:space="preserve">11.0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continue"/>
            <w:shd w:val="clear" w:color="auto" w:fill="EBF1FA" w:themeFill="background1"/>
            <w:noWrap/>
            <w:vAlign w:val="center"/>
          </w:tcPr>
          <w:p>
            <w:pPr>
              <w:jc w:val="center"/>
              <w:rPr>
                <w:rFonts w:cs="宋体"/>
                <w:kern w:val="0"/>
                <w:szCs w:val="21"/>
              </w:rPr>
            </w:pPr>
          </w:p>
        </w:tc>
        <w:tc>
          <w:tcPr>
            <w:tcW w:w="920" w:type="dxa"/>
            <w:vMerge w:val="continue"/>
            <w:shd w:val="clear" w:color="auto" w:fill="EBF1FA" w:themeFill="background1"/>
            <w:noWrap/>
            <w:vAlign w:val="center"/>
          </w:tcPr>
          <w:p>
            <w:pPr>
              <w:widowControl/>
              <w:jc w:val="center"/>
              <w:rPr>
                <w:rFonts w:cs="宋体"/>
                <w:kern w:val="0"/>
                <w:szCs w:val="21"/>
              </w:rPr>
            </w:pP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60%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88</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91.5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1730</w:t>
            </w:r>
          </w:p>
        </w:tc>
        <w:tc>
          <w:tcPr>
            <w:tcW w:w="1136" w:type="dxa"/>
            <w:shd w:val="clear" w:color="auto" w:fill="EBF1FA" w:themeFill="background1"/>
            <w:noWrap/>
          </w:tcPr>
          <w:p>
            <w:pPr>
              <w:widowControl/>
              <w:jc w:val="center"/>
              <w:rPr>
                <w:rFonts w:cs="宋体"/>
                <w:kern w:val="0"/>
                <w:szCs w:val="21"/>
              </w:rPr>
            </w:pPr>
            <w:r>
              <w:t xml:space="preserve">4.0 </w:t>
            </w:r>
          </w:p>
        </w:tc>
        <w:tc>
          <w:tcPr>
            <w:tcW w:w="1134" w:type="dxa"/>
            <w:shd w:val="clear" w:color="auto" w:fill="EBF1FA" w:themeFill="background1"/>
            <w:noWrap/>
          </w:tcPr>
          <w:p>
            <w:pPr>
              <w:widowControl/>
              <w:jc w:val="center"/>
              <w:rPr>
                <w:rFonts w:cs="宋体"/>
                <w:kern w:val="0"/>
                <w:szCs w:val="21"/>
              </w:rPr>
            </w:pPr>
            <w:r>
              <w:t xml:space="preserve">6.2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continue"/>
            <w:shd w:val="clear" w:color="auto" w:fill="EBF1FA" w:themeFill="background1"/>
            <w:noWrap/>
            <w:vAlign w:val="center"/>
          </w:tcPr>
          <w:p>
            <w:pPr>
              <w:jc w:val="center"/>
              <w:rPr>
                <w:rFonts w:cs="宋体"/>
                <w:kern w:val="0"/>
                <w:szCs w:val="21"/>
              </w:rPr>
            </w:pPr>
          </w:p>
        </w:tc>
        <w:tc>
          <w:tcPr>
            <w:tcW w:w="920" w:type="dxa"/>
            <w:vMerge w:val="restart"/>
            <w:shd w:val="clear" w:color="auto" w:fill="EBF1FA" w:themeFill="background1"/>
            <w:noWrap/>
            <w:vAlign w:val="center"/>
          </w:tcPr>
          <w:p>
            <w:pPr>
              <w:widowControl/>
              <w:jc w:val="center"/>
              <w:rPr>
                <w:rFonts w:cs="宋体"/>
                <w:kern w:val="0"/>
                <w:szCs w:val="21"/>
              </w:rPr>
            </w:pPr>
            <w:r>
              <w:rPr>
                <w:rFonts w:hint="eastAsia" w:cs="宋体"/>
                <w:kern w:val="0"/>
                <w:szCs w:val="21"/>
              </w:rPr>
              <w:t>M15</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71</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94.9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1835</w:t>
            </w:r>
          </w:p>
        </w:tc>
        <w:tc>
          <w:tcPr>
            <w:tcW w:w="1136" w:type="dxa"/>
            <w:shd w:val="clear" w:color="auto" w:fill="EBF1FA" w:themeFill="background1"/>
            <w:noWrap/>
          </w:tcPr>
          <w:p>
            <w:pPr>
              <w:widowControl/>
              <w:jc w:val="center"/>
              <w:rPr>
                <w:rFonts w:cs="宋体"/>
                <w:kern w:val="0"/>
                <w:szCs w:val="21"/>
              </w:rPr>
            </w:pPr>
            <w:r>
              <w:t xml:space="preserve">9.0 </w:t>
            </w:r>
          </w:p>
        </w:tc>
        <w:tc>
          <w:tcPr>
            <w:tcW w:w="1134" w:type="dxa"/>
            <w:shd w:val="clear" w:color="auto" w:fill="EBF1FA" w:themeFill="background1"/>
            <w:noWrap/>
          </w:tcPr>
          <w:p>
            <w:pPr>
              <w:widowControl/>
              <w:jc w:val="center"/>
              <w:rPr>
                <w:rFonts w:cs="宋体"/>
                <w:kern w:val="0"/>
                <w:szCs w:val="21"/>
              </w:rPr>
            </w:pPr>
            <w:r>
              <w:t xml:space="preserve">18.7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continue"/>
            <w:shd w:val="clear" w:color="auto" w:fill="EBF1FA" w:themeFill="background1"/>
            <w:noWrap/>
            <w:vAlign w:val="center"/>
          </w:tcPr>
          <w:p>
            <w:pPr>
              <w:jc w:val="center"/>
              <w:rPr>
                <w:rFonts w:cs="宋体"/>
                <w:kern w:val="0"/>
                <w:szCs w:val="21"/>
              </w:rPr>
            </w:pPr>
          </w:p>
        </w:tc>
        <w:tc>
          <w:tcPr>
            <w:tcW w:w="920" w:type="dxa"/>
            <w:vMerge w:val="continue"/>
            <w:shd w:val="clear" w:color="auto" w:fill="EBF1FA" w:themeFill="background1"/>
            <w:noWrap/>
            <w:vAlign w:val="center"/>
          </w:tcPr>
          <w:p>
            <w:pPr>
              <w:jc w:val="center"/>
              <w:rPr>
                <w:rFonts w:cs="宋体"/>
                <w:kern w:val="0"/>
                <w:szCs w:val="21"/>
              </w:rPr>
            </w:pP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20%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69</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94.2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1805</w:t>
            </w:r>
          </w:p>
        </w:tc>
        <w:tc>
          <w:tcPr>
            <w:tcW w:w="1136" w:type="dxa"/>
            <w:shd w:val="clear" w:color="auto" w:fill="EBF1FA" w:themeFill="background1"/>
            <w:noWrap/>
          </w:tcPr>
          <w:p>
            <w:pPr>
              <w:widowControl/>
              <w:jc w:val="center"/>
              <w:rPr>
                <w:rFonts w:cs="宋体"/>
                <w:kern w:val="0"/>
                <w:szCs w:val="21"/>
              </w:rPr>
            </w:pPr>
            <w:r>
              <w:t xml:space="preserve">9.7 </w:t>
            </w:r>
          </w:p>
        </w:tc>
        <w:tc>
          <w:tcPr>
            <w:tcW w:w="1134" w:type="dxa"/>
            <w:shd w:val="clear" w:color="auto" w:fill="EBF1FA" w:themeFill="background1"/>
            <w:noWrap/>
          </w:tcPr>
          <w:p>
            <w:pPr>
              <w:widowControl/>
              <w:jc w:val="center"/>
              <w:rPr>
                <w:rFonts w:cs="宋体"/>
                <w:kern w:val="0"/>
                <w:szCs w:val="21"/>
              </w:rPr>
            </w:pPr>
            <w:r>
              <w:t xml:space="preserve">18.9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continue"/>
            <w:shd w:val="clear" w:color="auto" w:fill="EBF1FA" w:themeFill="background1"/>
            <w:noWrap/>
            <w:vAlign w:val="center"/>
          </w:tcPr>
          <w:p>
            <w:pPr>
              <w:jc w:val="center"/>
              <w:rPr>
                <w:rFonts w:cs="宋体"/>
                <w:kern w:val="0"/>
                <w:szCs w:val="21"/>
              </w:rPr>
            </w:pPr>
          </w:p>
        </w:tc>
        <w:tc>
          <w:tcPr>
            <w:tcW w:w="920" w:type="dxa"/>
            <w:vMerge w:val="continue"/>
            <w:shd w:val="clear" w:color="auto" w:fill="EBF1FA" w:themeFill="background1"/>
            <w:noWrap/>
            <w:vAlign w:val="center"/>
          </w:tcPr>
          <w:p>
            <w:pPr>
              <w:jc w:val="center"/>
              <w:rPr>
                <w:rFonts w:cs="宋体"/>
                <w:kern w:val="0"/>
                <w:szCs w:val="21"/>
              </w:rPr>
            </w:pP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40%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75</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93.2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1775</w:t>
            </w:r>
          </w:p>
        </w:tc>
        <w:tc>
          <w:tcPr>
            <w:tcW w:w="1136" w:type="dxa"/>
            <w:shd w:val="clear" w:color="auto" w:fill="EBF1FA" w:themeFill="background1"/>
            <w:noWrap/>
          </w:tcPr>
          <w:p>
            <w:pPr>
              <w:widowControl/>
              <w:jc w:val="center"/>
              <w:rPr>
                <w:rFonts w:cs="宋体"/>
                <w:kern w:val="0"/>
                <w:szCs w:val="21"/>
              </w:rPr>
            </w:pPr>
            <w:r>
              <w:t xml:space="preserve">9.5 </w:t>
            </w:r>
          </w:p>
        </w:tc>
        <w:tc>
          <w:tcPr>
            <w:tcW w:w="1134" w:type="dxa"/>
            <w:shd w:val="clear" w:color="auto" w:fill="EBF1FA" w:themeFill="background1"/>
            <w:noWrap/>
          </w:tcPr>
          <w:p>
            <w:pPr>
              <w:widowControl/>
              <w:jc w:val="center"/>
              <w:rPr>
                <w:rFonts w:cs="宋体"/>
                <w:kern w:val="0"/>
                <w:szCs w:val="21"/>
              </w:rPr>
            </w:pPr>
            <w:r>
              <w:t xml:space="preserve">14.3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continue"/>
            <w:shd w:val="clear" w:color="auto" w:fill="EBF1FA" w:themeFill="background1"/>
            <w:noWrap/>
            <w:vAlign w:val="center"/>
          </w:tcPr>
          <w:p>
            <w:pPr>
              <w:jc w:val="center"/>
              <w:rPr>
                <w:rFonts w:cs="宋体"/>
                <w:kern w:val="0"/>
                <w:szCs w:val="21"/>
              </w:rPr>
            </w:pPr>
          </w:p>
        </w:tc>
        <w:tc>
          <w:tcPr>
            <w:tcW w:w="920" w:type="dxa"/>
            <w:vMerge w:val="continue"/>
            <w:shd w:val="clear" w:color="auto" w:fill="EBF1FA" w:themeFill="background1"/>
            <w:noWrap/>
            <w:vAlign w:val="center"/>
          </w:tcPr>
          <w:p>
            <w:pPr>
              <w:widowControl/>
              <w:jc w:val="center"/>
              <w:rPr>
                <w:rFonts w:cs="宋体"/>
                <w:kern w:val="0"/>
                <w:szCs w:val="21"/>
              </w:rPr>
            </w:pP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60%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84</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92.2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1750</w:t>
            </w:r>
          </w:p>
        </w:tc>
        <w:tc>
          <w:tcPr>
            <w:tcW w:w="1136" w:type="dxa"/>
            <w:shd w:val="clear" w:color="auto" w:fill="EBF1FA" w:themeFill="background1"/>
            <w:noWrap/>
          </w:tcPr>
          <w:p>
            <w:pPr>
              <w:widowControl/>
              <w:jc w:val="center"/>
              <w:rPr>
                <w:rFonts w:cs="宋体"/>
                <w:kern w:val="0"/>
                <w:szCs w:val="21"/>
              </w:rPr>
            </w:pPr>
            <w:r>
              <w:t xml:space="preserve">9.0 </w:t>
            </w:r>
          </w:p>
        </w:tc>
        <w:tc>
          <w:tcPr>
            <w:tcW w:w="1134" w:type="dxa"/>
            <w:shd w:val="clear" w:color="auto" w:fill="EBF1FA" w:themeFill="background1"/>
            <w:noWrap/>
          </w:tcPr>
          <w:p>
            <w:pPr>
              <w:widowControl/>
              <w:jc w:val="center"/>
              <w:rPr>
                <w:rFonts w:cs="宋体"/>
                <w:kern w:val="0"/>
                <w:szCs w:val="21"/>
              </w:rPr>
            </w:pPr>
            <w:r>
              <w:t xml:space="preserve">14.0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continue"/>
            <w:shd w:val="clear" w:color="auto" w:fill="EBF1FA" w:themeFill="background1"/>
            <w:noWrap/>
            <w:vAlign w:val="center"/>
          </w:tcPr>
          <w:p>
            <w:pPr>
              <w:jc w:val="center"/>
              <w:rPr>
                <w:rFonts w:cs="宋体"/>
                <w:kern w:val="0"/>
                <w:szCs w:val="21"/>
              </w:rPr>
            </w:pPr>
          </w:p>
        </w:tc>
        <w:tc>
          <w:tcPr>
            <w:tcW w:w="920" w:type="dxa"/>
            <w:vMerge w:val="restart"/>
            <w:shd w:val="clear" w:color="auto" w:fill="EBF1FA" w:themeFill="background1"/>
            <w:noWrap/>
            <w:vAlign w:val="center"/>
          </w:tcPr>
          <w:p>
            <w:pPr>
              <w:widowControl/>
              <w:jc w:val="center"/>
              <w:rPr>
                <w:rFonts w:cs="宋体"/>
                <w:kern w:val="0"/>
                <w:szCs w:val="21"/>
              </w:rPr>
            </w:pPr>
            <w:r>
              <w:rPr>
                <w:rFonts w:hint="eastAsia" w:cs="宋体"/>
                <w:kern w:val="0"/>
                <w:szCs w:val="21"/>
              </w:rPr>
              <w:t>M20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68</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94.0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1825</w:t>
            </w:r>
          </w:p>
        </w:tc>
        <w:tc>
          <w:tcPr>
            <w:tcW w:w="1136" w:type="dxa"/>
            <w:shd w:val="clear" w:color="auto" w:fill="EBF1FA" w:themeFill="background1"/>
            <w:noWrap/>
          </w:tcPr>
          <w:p>
            <w:pPr>
              <w:widowControl/>
              <w:jc w:val="center"/>
              <w:rPr>
                <w:rFonts w:cs="宋体"/>
                <w:kern w:val="0"/>
                <w:szCs w:val="21"/>
              </w:rPr>
            </w:pPr>
            <w:r>
              <w:t xml:space="preserve">16.7 </w:t>
            </w:r>
          </w:p>
        </w:tc>
        <w:tc>
          <w:tcPr>
            <w:tcW w:w="1134" w:type="dxa"/>
            <w:shd w:val="clear" w:color="auto" w:fill="EBF1FA" w:themeFill="background1"/>
            <w:noWrap/>
          </w:tcPr>
          <w:p>
            <w:pPr>
              <w:widowControl/>
              <w:jc w:val="center"/>
              <w:rPr>
                <w:rFonts w:cs="宋体"/>
                <w:kern w:val="0"/>
                <w:szCs w:val="21"/>
              </w:rPr>
            </w:pPr>
            <w:r>
              <w:t xml:space="preserve">24.7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continue"/>
            <w:shd w:val="clear" w:color="auto" w:fill="EBF1FA" w:themeFill="background1"/>
            <w:noWrap/>
            <w:vAlign w:val="center"/>
          </w:tcPr>
          <w:p>
            <w:pPr>
              <w:jc w:val="center"/>
              <w:rPr>
                <w:rFonts w:cs="宋体"/>
                <w:kern w:val="0"/>
                <w:szCs w:val="21"/>
              </w:rPr>
            </w:pPr>
          </w:p>
        </w:tc>
        <w:tc>
          <w:tcPr>
            <w:tcW w:w="920" w:type="dxa"/>
            <w:vMerge w:val="continue"/>
            <w:shd w:val="clear" w:color="auto" w:fill="EBF1FA" w:themeFill="background1"/>
            <w:noWrap/>
            <w:vAlign w:val="center"/>
          </w:tcPr>
          <w:p>
            <w:pPr>
              <w:jc w:val="center"/>
              <w:rPr>
                <w:rFonts w:cs="宋体"/>
                <w:kern w:val="0"/>
                <w:szCs w:val="21"/>
              </w:rPr>
            </w:pP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20%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62</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92.1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1800</w:t>
            </w:r>
          </w:p>
        </w:tc>
        <w:tc>
          <w:tcPr>
            <w:tcW w:w="1136" w:type="dxa"/>
            <w:shd w:val="clear" w:color="auto" w:fill="EBF1FA" w:themeFill="background1"/>
            <w:noWrap/>
          </w:tcPr>
          <w:p>
            <w:pPr>
              <w:widowControl/>
              <w:jc w:val="center"/>
              <w:rPr>
                <w:rFonts w:cs="宋体"/>
                <w:kern w:val="0"/>
                <w:szCs w:val="21"/>
              </w:rPr>
            </w:pPr>
            <w:r>
              <w:t xml:space="preserve">16.5 </w:t>
            </w:r>
          </w:p>
        </w:tc>
        <w:tc>
          <w:tcPr>
            <w:tcW w:w="1134" w:type="dxa"/>
            <w:shd w:val="clear" w:color="auto" w:fill="EBF1FA" w:themeFill="background1"/>
            <w:noWrap/>
          </w:tcPr>
          <w:p>
            <w:pPr>
              <w:widowControl/>
              <w:jc w:val="center"/>
              <w:rPr>
                <w:rFonts w:cs="宋体"/>
                <w:kern w:val="0"/>
                <w:szCs w:val="21"/>
              </w:rPr>
            </w:pPr>
            <w:r>
              <w:t xml:space="preserve">24.4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continue"/>
            <w:shd w:val="clear" w:color="auto" w:fill="EBF1FA" w:themeFill="background1"/>
            <w:noWrap/>
            <w:vAlign w:val="center"/>
          </w:tcPr>
          <w:p>
            <w:pPr>
              <w:jc w:val="center"/>
              <w:rPr>
                <w:rFonts w:cs="宋体"/>
                <w:kern w:val="0"/>
                <w:szCs w:val="21"/>
              </w:rPr>
            </w:pPr>
          </w:p>
        </w:tc>
        <w:tc>
          <w:tcPr>
            <w:tcW w:w="920" w:type="dxa"/>
            <w:vMerge w:val="continue"/>
            <w:shd w:val="clear" w:color="auto" w:fill="EBF1FA" w:themeFill="background1"/>
            <w:noWrap/>
            <w:vAlign w:val="center"/>
          </w:tcPr>
          <w:p>
            <w:pPr>
              <w:jc w:val="center"/>
              <w:rPr>
                <w:rFonts w:cs="宋体"/>
                <w:kern w:val="0"/>
                <w:szCs w:val="21"/>
              </w:rPr>
            </w:pP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40%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65</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91.8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1765</w:t>
            </w:r>
          </w:p>
        </w:tc>
        <w:tc>
          <w:tcPr>
            <w:tcW w:w="1136" w:type="dxa"/>
            <w:shd w:val="clear" w:color="auto" w:fill="EBF1FA" w:themeFill="background1"/>
            <w:noWrap/>
          </w:tcPr>
          <w:p>
            <w:pPr>
              <w:widowControl/>
              <w:jc w:val="center"/>
              <w:rPr>
                <w:rFonts w:cs="宋体"/>
                <w:kern w:val="0"/>
                <w:szCs w:val="21"/>
              </w:rPr>
            </w:pPr>
            <w:r>
              <w:t xml:space="preserve">13.4 </w:t>
            </w:r>
          </w:p>
        </w:tc>
        <w:tc>
          <w:tcPr>
            <w:tcW w:w="1134" w:type="dxa"/>
            <w:shd w:val="clear" w:color="auto" w:fill="EBF1FA" w:themeFill="background1"/>
            <w:noWrap/>
          </w:tcPr>
          <w:p>
            <w:pPr>
              <w:widowControl/>
              <w:jc w:val="center"/>
              <w:rPr>
                <w:rFonts w:cs="宋体"/>
                <w:kern w:val="0"/>
                <w:szCs w:val="21"/>
              </w:rPr>
            </w:pPr>
            <w:r>
              <w:t xml:space="preserve">19.3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continue"/>
            <w:shd w:val="clear" w:color="auto" w:fill="EBF1FA" w:themeFill="background1"/>
            <w:noWrap/>
            <w:vAlign w:val="center"/>
          </w:tcPr>
          <w:p>
            <w:pPr>
              <w:widowControl/>
              <w:jc w:val="center"/>
              <w:rPr>
                <w:rFonts w:cs="宋体"/>
                <w:kern w:val="0"/>
                <w:szCs w:val="21"/>
              </w:rPr>
            </w:pPr>
          </w:p>
        </w:tc>
        <w:tc>
          <w:tcPr>
            <w:tcW w:w="920" w:type="dxa"/>
            <w:vMerge w:val="continue"/>
            <w:shd w:val="clear" w:color="auto" w:fill="EBF1FA" w:themeFill="background1"/>
            <w:noWrap/>
            <w:vAlign w:val="center"/>
          </w:tcPr>
          <w:p>
            <w:pPr>
              <w:widowControl/>
              <w:jc w:val="center"/>
              <w:rPr>
                <w:rFonts w:cs="宋体"/>
                <w:kern w:val="0"/>
                <w:szCs w:val="21"/>
              </w:rPr>
            </w:pP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60%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74</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90.4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1760</w:t>
            </w:r>
          </w:p>
        </w:tc>
        <w:tc>
          <w:tcPr>
            <w:tcW w:w="1136" w:type="dxa"/>
            <w:shd w:val="clear" w:color="auto" w:fill="EBF1FA" w:themeFill="background1"/>
            <w:noWrap/>
          </w:tcPr>
          <w:p>
            <w:pPr>
              <w:widowControl/>
              <w:jc w:val="center"/>
              <w:rPr>
                <w:rFonts w:cs="宋体"/>
                <w:kern w:val="0"/>
                <w:szCs w:val="21"/>
              </w:rPr>
            </w:pPr>
            <w:r>
              <w:t xml:space="preserve">8.5 </w:t>
            </w:r>
          </w:p>
        </w:tc>
        <w:tc>
          <w:tcPr>
            <w:tcW w:w="1134" w:type="dxa"/>
            <w:shd w:val="clear" w:color="auto" w:fill="EBF1FA" w:themeFill="background1"/>
            <w:noWrap/>
          </w:tcPr>
          <w:p>
            <w:pPr>
              <w:widowControl/>
              <w:jc w:val="center"/>
              <w:rPr>
                <w:rFonts w:cs="宋体"/>
                <w:kern w:val="0"/>
                <w:szCs w:val="21"/>
              </w:rPr>
            </w:pPr>
            <w:r>
              <w:t xml:space="preserve">18.6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restart"/>
            <w:shd w:val="clear" w:color="auto" w:fill="EBF1FA" w:themeFill="background1"/>
            <w:noWrap/>
            <w:vAlign w:val="center"/>
          </w:tcPr>
          <w:p>
            <w:pPr>
              <w:jc w:val="center"/>
              <w:rPr>
                <w:rFonts w:cs="宋体"/>
                <w:kern w:val="0"/>
                <w:szCs w:val="21"/>
              </w:rPr>
            </w:pPr>
            <w:r>
              <w:rPr>
                <w:rFonts w:hint="eastAsia" w:cs="宋体"/>
                <w:kern w:val="0"/>
                <w:szCs w:val="21"/>
              </w:rPr>
              <w:t>陶瓷再生细骨料</w:t>
            </w:r>
          </w:p>
        </w:tc>
        <w:tc>
          <w:tcPr>
            <w:tcW w:w="920" w:type="dxa"/>
            <w:vMerge w:val="restart"/>
            <w:shd w:val="clear" w:color="auto" w:fill="EBF1FA" w:themeFill="background1"/>
            <w:noWrap/>
            <w:vAlign w:val="center"/>
          </w:tcPr>
          <w:p>
            <w:pPr>
              <w:widowControl/>
              <w:jc w:val="center"/>
              <w:rPr>
                <w:rFonts w:cs="宋体"/>
                <w:kern w:val="0"/>
                <w:szCs w:val="21"/>
              </w:rPr>
            </w:pPr>
            <w:r>
              <w:rPr>
                <w:rFonts w:hint="eastAsia" w:cs="宋体"/>
                <w:kern w:val="0"/>
                <w:szCs w:val="21"/>
              </w:rPr>
              <w:t>M5</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85</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92.8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1820</w:t>
            </w:r>
          </w:p>
        </w:tc>
        <w:tc>
          <w:tcPr>
            <w:tcW w:w="1136" w:type="dxa"/>
            <w:shd w:val="clear" w:color="auto" w:fill="EBF1FA" w:themeFill="background1"/>
            <w:noWrap/>
          </w:tcPr>
          <w:p>
            <w:pPr>
              <w:widowControl/>
              <w:jc w:val="center"/>
              <w:rPr>
                <w:rFonts w:cs="宋体"/>
                <w:kern w:val="0"/>
                <w:szCs w:val="21"/>
              </w:rPr>
            </w:pPr>
            <w:r>
              <w:t xml:space="preserve">4.4 </w:t>
            </w:r>
          </w:p>
        </w:tc>
        <w:tc>
          <w:tcPr>
            <w:tcW w:w="1134" w:type="dxa"/>
            <w:shd w:val="clear" w:color="auto" w:fill="EBF1FA" w:themeFill="background1"/>
            <w:noWrap/>
          </w:tcPr>
          <w:p>
            <w:pPr>
              <w:widowControl/>
              <w:jc w:val="center"/>
              <w:rPr>
                <w:rFonts w:cs="宋体"/>
                <w:kern w:val="0"/>
                <w:szCs w:val="21"/>
              </w:rPr>
            </w:pPr>
            <w:r>
              <w:t xml:space="preserve">8.8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continue"/>
            <w:shd w:val="clear" w:color="auto" w:fill="EBF1FA" w:themeFill="background1"/>
            <w:noWrap/>
            <w:vAlign w:val="center"/>
          </w:tcPr>
          <w:p>
            <w:pPr>
              <w:jc w:val="center"/>
              <w:rPr>
                <w:rFonts w:cs="宋体"/>
                <w:kern w:val="0"/>
                <w:szCs w:val="21"/>
              </w:rPr>
            </w:pPr>
          </w:p>
        </w:tc>
        <w:tc>
          <w:tcPr>
            <w:tcW w:w="920" w:type="dxa"/>
            <w:vMerge w:val="continue"/>
            <w:shd w:val="clear" w:color="auto" w:fill="EBF1FA" w:themeFill="background1"/>
            <w:noWrap/>
            <w:vAlign w:val="center"/>
          </w:tcPr>
          <w:p>
            <w:pPr>
              <w:jc w:val="center"/>
              <w:rPr>
                <w:rFonts w:cs="宋体"/>
                <w:kern w:val="0"/>
                <w:szCs w:val="21"/>
              </w:rPr>
            </w:pP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85</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92.9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1795</w:t>
            </w:r>
          </w:p>
        </w:tc>
        <w:tc>
          <w:tcPr>
            <w:tcW w:w="1136" w:type="dxa"/>
            <w:shd w:val="clear" w:color="auto" w:fill="EBF1FA" w:themeFill="background1"/>
            <w:noWrap/>
          </w:tcPr>
          <w:p>
            <w:pPr>
              <w:widowControl/>
              <w:jc w:val="center"/>
              <w:rPr>
                <w:rFonts w:cs="宋体"/>
                <w:kern w:val="0"/>
                <w:szCs w:val="21"/>
              </w:rPr>
            </w:pPr>
            <w:r>
              <w:t xml:space="preserve">4.3 </w:t>
            </w:r>
          </w:p>
        </w:tc>
        <w:tc>
          <w:tcPr>
            <w:tcW w:w="1134" w:type="dxa"/>
            <w:shd w:val="clear" w:color="auto" w:fill="EBF1FA" w:themeFill="background1"/>
            <w:noWrap/>
          </w:tcPr>
          <w:p>
            <w:pPr>
              <w:widowControl/>
              <w:jc w:val="center"/>
              <w:rPr>
                <w:rFonts w:cs="宋体"/>
                <w:kern w:val="0"/>
                <w:szCs w:val="21"/>
              </w:rPr>
            </w:pPr>
            <w:r>
              <w:t xml:space="preserve">8.5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continue"/>
            <w:shd w:val="clear" w:color="auto" w:fill="EBF1FA" w:themeFill="background1"/>
            <w:noWrap/>
            <w:vAlign w:val="center"/>
          </w:tcPr>
          <w:p>
            <w:pPr>
              <w:jc w:val="center"/>
              <w:rPr>
                <w:rFonts w:cs="宋体"/>
                <w:kern w:val="0"/>
                <w:szCs w:val="21"/>
              </w:rPr>
            </w:pPr>
          </w:p>
        </w:tc>
        <w:tc>
          <w:tcPr>
            <w:tcW w:w="920" w:type="dxa"/>
            <w:vMerge w:val="continue"/>
            <w:shd w:val="clear" w:color="auto" w:fill="EBF1FA" w:themeFill="background1"/>
            <w:noWrap/>
            <w:vAlign w:val="center"/>
          </w:tcPr>
          <w:p>
            <w:pPr>
              <w:jc w:val="center"/>
              <w:rPr>
                <w:rFonts w:cs="宋体"/>
                <w:kern w:val="0"/>
                <w:szCs w:val="21"/>
              </w:rPr>
            </w:pP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20%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84</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92.8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1790</w:t>
            </w:r>
          </w:p>
        </w:tc>
        <w:tc>
          <w:tcPr>
            <w:tcW w:w="1136" w:type="dxa"/>
            <w:shd w:val="clear" w:color="auto" w:fill="EBF1FA" w:themeFill="background1"/>
            <w:noWrap/>
          </w:tcPr>
          <w:p>
            <w:pPr>
              <w:widowControl/>
              <w:jc w:val="center"/>
              <w:rPr>
                <w:rFonts w:cs="宋体"/>
                <w:kern w:val="0"/>
                <w:szCs w:val="21"/>
              </w:rPr>
            </w:pPr>
            <w:r>
              <w:t xml:space="preserve">4.6 </w:t>
            </w:r>
          </w:p>
        </w:tc>
        <w:tc>
          <w:tcPr>
            <w:tcW w:w="1134" w:type="dxa"/>
            <w:shd w:val="clear" w:color="auto" w:fill="EBF1FA" w:themeFill="background1"/>
            <w:noWrap/>
          </w:tcPr>
          <w:p>
            <w:pPr>
              <w:widowControl/>
              <w:jc w:val="center"/>
              <w:rPr>
                <w:rFonts w:cs="宋体"/>
                <w:kern w:val="0"/>
                <w:szCs w:val="21"/>
              </w:rPr>
            </w:pPr>
            <w:r>
              <w:t xml:space="preserve">8.9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continue"/>
            <w:shd w:val="clear" w:color="auto" w:fill="EBF1FA" w:themeFill="background1"/>
            <w:noWrap/>
            <w:vAlign w:val="center"/>
          </w:tcPr>
          <w:p>
            <w:pPr>
              <w:jc w:val="center"/>
              <w:rPr>
                <w:rFonts w:cs="宋体"/>
                <w:kern w:val="0"/>
                <w:szCs w:val="21"/>
              </w:rPr>
            </w:pPr>
          </w:p>
        </w:tc>
        <w:tc>
          <w:tcPr>
            <w:tcW w:w="920" w:type="dxa"/>
            <w:vMerge w:val="continue"/>
            <w:shd w:val="clear" w:color="auto" w:fill="EBF1FA" w:themeFill="background1"/>
            <w:noWrap/>
            <w:vAlign w:val="center"/>
          </w:tcPr>
          <w:p>
            <w:pPr>
              <w:jc w:val="center"/>
              <w:rPr>
                <w:rFonts w:cs="宋体"/>
                <w:kern w:val="0"/>
                <w:szCs w:val="21"/>
              </w:rPr>
            </w:pP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30%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76</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91.7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1780</w:t>
            </w:r>
          </w:p>
        </w:tc>
        <w:tc>
          <w:tcPr>
            <w:tcW w:w="1136" w:type="dxa"/>
            <w:shd w:val="clear" w:color="auto" w:fill="EBF1FA" w:themeFill="background1"/>
            <w:noWrap/>
          </w:tcPr>
          <w:p>
            <w:pPr>
              <w:widowControl/>
              <w:jc w:val="center"/>
              <w:rPr>
                <w:rFonts w:cs="宋体"/>
                <w:kern w:val="0"/>
                <w:szCs w:val="21"/>
              </w:rPr>
            </w:pPr>
            <w:r>
              <w:t xml:space="preserve">3.5 </w:t>
            </w:r>
          </w:p>
        </w:tc>
        <w:tc>
          <w:tcPr>
            <w:tcW w:w="1134" w:type="dxa"/>
            <w:shd w:val="clear" w:color="auto" w:fill="EBF1FA" w:themeFill="background1"/>
            <w:noWrap/>
          </w:tcPr>
          <w:p>
            <w:pPr>
              <w:widowControl/>
              <w:jc w:val="center"/>
              <w:rPr>
                <w:rFonts w:cs="宋体"/>
                <w:kern w:val="0"/>
                <w:szCs w:val="21"/>
              </w:rPr>
            </w:pPr>
            <w:r>
              <w:t xml:space="preserve">7.4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continue"/>
            <w:shd w:val="clear" w:color="auto" w:fill="EBF1FA" w:themeFill="background1"/>
            <w:noWrap/>
            <w:vAlign w:val="center"/>
          </w:tcPr>
          <w:p>
            <w:pPr>
              <w:jc w:val="center"/>
              <w:rPr>
                <w:rFonts w:cs="宋体"/>
                <w:kern w:val="0"/>
                <w:szCs w:val="21"/>
              </w:rPr>
            </w:pPr>
          </w:p>
        </w:tc>
        <w:tc>
          <w:tcPr>
            <w:tcW w:w="920" w:type="dxa"/>
            <w:vMerge w:val="continue"/>
            <w:shd w:val="clear" w:color="auto" w:fill="EBF1FA" w:themeFill="background1"/>
            <w:noWrap/>
            <w:vAlign w:val="center"/>
          </w:tcPr>
          <w:p>
            <w:pPr>
              <w:widowControl/>
              <w:jc w:val="center"/>
              <w:rPr>
                <w:rFonts w:cs="宋体"/>
                <w:kern w:val="0"/>
                <w:szCs w:val="21"/>
              </w:rPr>
            </w:pP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40%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71</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91.2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1770</w:t>
            </w:r>
          </w:p>
        </w:tc>
        <w:tc>
          <w:tcPr>
            <w:tcW w:w="1136" w:type="dxa"/>
            <w:shd w:val="clear" w:color="auto" w:fill="EBF1FA" w:themeFill="background1"/>
            <w:noWrap/>
          </w:tcPr>
          <w:p>
            <w:pPr>
              <w:widowControl/>
              <w:jc w:val="center"/>
              <w:rPr>
                <w:rFonts w:cs="宋体"/>
                <w:kern w:val="0"/>
                <w:szCs w:val="21"/>
              </w:rPr>
            </w:pPr>
            <w:r>
              <w:t xml:space="preserve">3.2 </w:t>
            </w:r>
          </w:p>
        </w:tc>
        <w:tc>
          <w:tcPr>
            <w:tcW w:w="1134" w:type="dxa"/>
            <w:shd w:val="clear" w:color="auto" w:fill="EBF1FA" w:themeFill="background1"/>
            <w:noWrap/>
          </w:tcPr>
          <w:p>
            <w:pPr>
              <w:widowControl/>
              <w:jc w:val="center"/>
              <w:rPr>
                <w:rFonts w:cs="宋体"/>
                <w:kern w:val="0"/>
                <w:szCs w:val="21"/>
              </w:rPr>
            </w:pPr>
            <w:r>
              <w:t xml:space="preserve">6.1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continue"/>
            <w:shd w:val="clear" w:color="auto" w:fill="EBF1FA" w:themeFill="background1"/>
            <w:noWrap/>
            <w:vAlign w:val="center"/>
          </w:tcPr>
          <w:p>
            <w:pPr>
              <w:jc w:val="center"/>
              <w:rPr>
                <w:rFonts w:cs="宋体"/>
                <w:kern w:val="0"/>
                <w:szCs w:val="21"/>
              </w:rPr>
            </w:pPr>
          </w:p>
        </w:tc>
        <w:tc>
          <w:tcPr>
            <w:tcW w:w="920" w:type="dxa"/>
            <w:vMerge w:val="restart"/>
            <w:shd w:val="clear" w:color="auto" w:fill="EBF1FA" w:themeFill="background1"/>
            <w:noWrap/>
            <w:vAlign w:val="center"/>
          </w:tcPr>
          <w:p>
            <w:pPr>
              <w:widowControl/>
              <w:jc w:val="center"/>
              <w:rPr>
                <w:rFonts w:cs="宋体"/>
                <w:kern w:val="0"/>
                <w:szCs w:val="21"/>
              </w:rPr>
            </w:pPr>
            <w:r>
              <w:rPr>
                <w:rFonts w:hint="eastAsia" w:cs="宋体"/>
                <w:kern w:val="0"/>
                <w:szCs w:val="21"/>
              </w:rPr>
              <w:t>M7.5</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84</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95.8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1845</w:t>
            </w:r>
          </w:p>
        </w:tc>
        <w:tc>
          <w:tcPr>
            <w:tcW w:w="1136" w:type="dxa"/>
            <w:shd w:val="clear" w:color="auto" w:fill="EBF1FA" w:themeFill="background1"/>
            <w:noWrap/>
          </w:tcPr>
          <w:p>
            <w:pPr>
              <w:widowControl/>
              <w:jc w:val="center"/>
              <w:rPr>
                <w:rFonts w:cs="宋体"/>
                <w:kern w:val="0"/>
                <w:szCs w:val="21"/>
              </w:rPr>
            </w:pPr>
            <w:r>
              <w:t xml:space="preserve">6.8 </w:t>
            </w:r>
          </w:p>
        </w:tc>
        <w:tc>
          <w:tcPr>
            <w:tcW w:w="1134" w:type="dxa"/>
            <w:shd w:val="clear" w:color="auto" w:fill="EBF1FA" w:themeFill="background1"/>
            <w:noWrap/>
          </w:tcPr>
          <w:p>
            <w:pPr>
              <w:widowControl/>
              <w:jc w:val="center"/>
              <w:rPr>
                <w:rFonts w:cs="宋体"/>
                <w:kern w:val="0"/>
                <w:szCs w:val="21"/>
              </w:rPr>
            </w:pPr>
            <w:r>
              <w:t xml:space="preserve">11.2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continue"/>
            <w:shd w:val="clear" w:color="auto" w:fill="EBF1FA" w:themeFill="background1"/>
            <w:noWrap/>
            <w:vAlign w:val="center"/>
          </w:tcPr>
          <w:p>
            <w:pPr>
              <w:jc w:val="center"/>
              <w:rPr>
                <w:rFonts w:cs="宋体"/>
                <w:kern w:val="0"/>
                <w:szCs w:val="21"/>
              </w:rPr>
            </w:pPr>
          </w:p>
        </w:tc>
        <w:tc>
          <w:tcPr>
            <w:tcW w:w="920" w:type="dxa"/>
            <w:vMerge w:val="continue"/>
            <w:shd w:val="clear" w:color="auto" w:fill="EBF1FA" w:themeFill="background1"/>
            <w:noWrap/>
            <w:vAlign w:val="center"/>
          </w:tcPr>
          <w:p>
            <w:pPr>
              <w:jc w:val="center"/>
              <w:rPr>
                <w:rFonts w:cs="宋体"/>
                <w:kern w:val="0"/>
                <w:szCs w:val="21"/>
              </w:rPr>
            </w:pP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80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94.3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1835</w:t>
            </w:r>
          </w:p>
        </w:tc>
        <w:tc>
          <w:tcPr>
            <w:tcW w:w="1136" w:type="dxa"/>
            <w:shd w:val="clear" w:color="auto" w:fill="EBF1FA" w:themeFill="background1"/>
            <w:noWrap/>
          </w:tcPr>
          <w:p>
            <w:pPr>
              <w:widowControl/>
              <w:jc w:val="center"/>
              <w:rPr>
                <w:rFonts w:cs="宋体"/>
                <w:kern w:val="0"/>
                <w:szCs w:val="21"/>
              </w:rPr>
            </w:pPr>
            <w:r>
              <w:t xml:space="preserve">6.4 </w:t>
            </w:r>
          </w:p>
        </w:tc>
        <w:tc>
          <w:tcPr>
            <w:tcW w:w="1134" w:type="dxa"/>
            <w:shd w:val="clear" w:color="auto" w:fill="EBF1FA" w:themeFill="background1"/>
            <w:noWrap/>
          </w:tcPr>
          <w:p>
            <w:pPr>
              <w:widowControl/>
              <w:jc w:val="center"/>
              <w:rPr>
                <w:rFonts w:cs="宋体"/>
                <w:kern w:val="0"/>
                <w:szCs w:val="21"/>
              </w:rPr>
            </w:pPr>
            <w:r>
              <w:t xml:space="preserve">11.7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continue"/>
            <w:shd w:val="clear" w:color="auto" w:fill="EBF1FA" w:themeFill="background1"/>
            <w:noWrap/>
            <w:vAlign w:val="center"/>
          </w:tcPr>
          <w:p>
            <w:pPr>
              <w:jc w:val="center"/>
              <w:rPr>
                <w:rFonts w:cs="宋体"/>
                <w:kern w:val="0"/>
                <w:szCs w:val="21"/>
              </w:rPr>
            </w:pPr>
          </w:p>
        </w:tc>
        <w:tc>
          <w:tcPr>
            <w:tcW w:w="920" w:type="dxa"/>
            <w:vMerge w:val="continue"/>
            <w:shd w:val="clear" w:color="auto" w:fill="EBF1FA" w:themeFill="background1"/>
            <w:noWrap/>
            <w:vAlign w:val="center"/>
          </w:tcPr>
          <w:p>
            <w:pPr>
              <w:jc w:val="center"/>
              <w:rPr>
                <w:rFonts w:cs="宋体"/>
                <w:kern w:val="0"/>
                <w:szCs w:val="21"/>
              </w:rPr>
            </w:pP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20%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70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94.1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1825</w:t>
            </w:r>
          </w:p>
        </w:tc>
        <w:tc>
          <w:tcPr>
            <w:tcW w:w="1136" w:type="dxa"/>
            <w:shd w:val="clear" w:color="auto" w:fill="EBF1FA" w:themeFill="background1"/>
            <w:noWrap/>
          </w:tcPr>
          <w:p>
            <w:pPr>
              <w:widowControl/>
              <w:jc w:val="center"/>
              <w:rPr>
                <w:rFonts w:cs="宋体"/>
                <w:kern w:val="0"/>
                <w:szCs w:val="21"/>
              </w:rPr>
            </w:pPr>
            <w:r>
              <w:t xml:space="preserve">6.6 </w:t>
            </w:r>
          </w:p>
        </w:tc>
        <w:tc>
          <w:tcPr>
            <w:tcW w:w="1134" w:type="dxa"/>
            <w:shd w:val="clear" w:color="auto" w:fill="EBF1FA" w:themeFill="background1"/>
            <w:noWrap/>
          </w:tcPr>
          <w:p>
            <w:pPr>
              <w:widowControl/>
              <w:jc w:val="center"/>
              <w:rPr>
                <w:rFonts w:cs="宋体"/>
                <w:kern w:val="0"/>
                <w:szCs w:val="21"/>
              </w:rPr>
            </w:pPr>
            <w:r>
              <w:t xml:space="preserve">11.1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continue"/>
            <w:shd w:val="clear" w:color="auto" w:fill="EBF1FA" w:themeFill="background1"/>
            <w:noWrap/>
            <w:vAlign w:val="center"/>
          </w:tcPr>
          <w:p>
            <w:pPr>
              <w:jc w:val="center"/>
              <w:rPr>
                <w:rFonts w:cs="宋体"/>
                <w:kern w:val="0"/>
                <w:szCs w:val="21"/>
              </w:rPr>
            </w:pPr>
          </w:p>
        </w:tc>
        <w:tc>
          <w:tcPr>
            <w:tcW w:w="920" w:type="dxa"/>
            <w:vMerge w:val="continue"/>
            <w:shd w:val="clear" w:color="auto" w:fill="EBF1FA" w:themeFill="background1"/>
            <w:noWrap/>
            <w:vAlign w:val="center"/>
          </w:tcPr>
          <w:p>
            <w:pPr>
              <w:jc w:val="center"/>
              <w:rPr>
                <w:rFonts w:cs="宋体"/>
                <w:kern w:val="0"/>
                <w:szCs w:val="21"/>
              </w:rPr>
            </w:pP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30%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68</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93.6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1810</w:t>
            </w:r>
          </w:p>
        </w:tc>
        <w:tc>
          <w:tcPr>
            <w:tcW w:w="1136" w:type="dxa"/>
            <w:shd w:val="clear" w:color="auto" w:fill="EBF1FA" w:themeFill="background1"/>
            <w:noWrap/>
          </w:tcPr>
          <w:p>
            <w:pPr>
              <w:widowControl/>
              <w:jc w:val="center"/>
              <w:rPr>
                <w:rFonts w:cs="宋体"/>
                <w:kern w:val="0"/>
                <w:szCs w:val="21"/>
              </w:rPr>
            </w:pPr>
            <w:r>
              <w:t xml:space="preserve">6.5 </w:t>
            </w:r>
          </w:p>
        </w:tc>
        <w:tc>
          <w:tcPr>
            <w:tcW w:w="1134" w:type="dxa"/>
            <w:shd w:val="clear" w:color="auto" w:fill="EBF1FA" w:themeFill="background1"/>
            <w:noWrap/>
          </w:tcPr>
          <w:p>
            <w:pPr>
              <w:widowControl/>
              <w:jc w:val="center"/>
              <w:rPr>
                <w:rFonts w:cs="宋体"/>
                <w:kern w:val="0"/>
                <w:szCs w:val="21"/>
              </w:rPr>
            </w:pPr>
            <w:r>
              <w:t xml:space="preserve">11.4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continue"/>
            <w:shd w:val="clear" w:color="auto" w:fill="EBF1FA" w:themeFill="background1"/>
            <w:noWrap/>
            <w:vAlign w:val="center"/>
          </w:tcPr>
          <w:p>
            <w:pPr>
              <w:jc w:val="center"/>
              <w:rPr>
                <w:rFonts w:cs="宋体"/>
                <w:kern w:val="0"/>
                <w:szCs w:val="21"/>
              </w:rPr>
            </w:pPr>
          </w:p>
        </w:tc>
        <w:tc>
          <w:tcPr>
            <w:tcW w:w="920" w:type="dxa"/>
            <w:vMerge w:val="continue"/>
            <w:shd w:val="clear" w:color="auto" w:fill="EBF1FA" w:themeFill="background1"/>
            <w:noWrap/>
            <w:vAlign w:val="center"/>
          </w:tcPr>
          <w:p>
            <w:pPr>
              <w:widowControl/>
              <w:jc w:val="center"/>
              <w:rPr>
                <w:rFonts w:cs="宋体"/>
                <w:kern w:val="0"/>
                <w:szCs w:val="21"/>
              </w:rPr>
            </w:pP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40%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68</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92.2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1800</w:t>
            </w:r>
          </w:p>
        </w:tc>
        <w:tc>
          <w:tcPr>
            <w:tcW w:w="1136" w:type="dxa"/>
            <w:shd w:val="clear" w:color="auto" w:fill="EBF1FA" w:themeFill="background1"/>
            <w:noWrap/>
          </w:tcPr>
          <w:p>
            <w:pPr>
              <w:widowControl/>
              <w:jc w:val="center"/>
              <w:rPr>
                <w:rFonts w:cs="宋体"/>
                <w:kern w:val="0"/>
                <w:szCs w:val="21"/>
              </w:rPr>
            </w:pPr>
            <w:r>
              <w:t xml:space="preserve">5.5 </w:t>
            </w:r>
          </w:p>
        </w:tc>
        <w:tc>
          <w:tcPr>
            <w:tcW w:w="1134" w:type="dxa"/>
            <w:shd w:val="clear" w:color="auto" w:fill="EBF1FA" w:themeFill="background1"/>
            <w:noWrap/>
          </w:tcPr>
          <w:p>
            <w:pPr>
              <w:widowControl/>
              <w:jc w:val="center"/>
              <w:rPr>
                <w:rFonts w:cs="宋体"/>
                <w:kern w:val="0"/>
                <w:szCs w:val="21"/>
              </w:rPr>
            </w:pPr>
            <w:r>
              <w:t xml:space="preserve">9.9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continue"/>
            <w:shd w:val="clear" w:color="auto" w:fill="EBF1FA" w:themeFill="background1"/>
            <w:noWrap/>
            <w:vAlign w:val="center"/>
          </w:tcPr>
          <w:p>
            <w:pPr>
              <w:jc w:val="center"/>
              <w:rPr>
                <w:rFonts w:cs="宋体"/>
                <w:kern w:val="0"/>
                <w:szCs w:val="21"/>
              </w:rPr>
            </w:pPr>
          </w:p>
        </w:tc>
        <w:tc>
          <w:tcPr>
            <w:tcW w:w="920" w:type="dxa"/>
            <w:vMerge w:val="restart"/>
            <w:shd w:val="clear" w:color="auto" w:fill="EBF1FA" w:themeFill="background1"/>
            <w:noWrap/>
            <w:vAlign w:val="center"/>
          </w:tcPr>
          <w:p>
            <w:pPr>
              <w:widowControl/>
              <w:jc w:val="center"/>
              <w:rPr>
                <w:rFonts w:cs="宋体"/>
                <w:kern w:val="0"/>
                <w:szCs w:val="21"/>
              </w:rPr>
            </w:pPr>
            <w:r>
              <w:rPr>
                <w:rFonts w:hint="eastAsia" w:cs="宋体"/>
                <w:kern w:val="0"/>
                <w:szCs w:val="21"/>
              </w:rPr>
              <w:t>M10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80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96.0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1855</w:t>
            </w:r>
          </w:p>
        </w:tc>
        <w:tc>
          <w:tcPr>
            <w:tcW w:w="1136" w:type="dxa"/>
            <w:shd w:val="clear" w:color="auto" w:fill="EBF1FA" w:themeFill="background1"/>
            <w:noWrap/>
          </w:tcPr>
          <w:p>
            <w:pPr>
              <w:widowControl/>
              <w:jc w:val="center"/>
              <w:rPr>
                <w:rFonts w:cs="宋体"/>
                <w:kern w:val="0"/>
                <w:szCs w:val="21"/>
              </w:rPr>
            </w:pPr>
            <w:r>
              <w:t xml:space="preserve">8.9 </w:t>
            </w:r>
          </w:p>
        </w:tc>
        <w:tc>
          <w:tcPr>
            <w:tcW w:w="1134" w:type="dxa"/>
            <w:shd w:val="clear" w:color="auto" w:fill="EBF1FA" w:themeFill="background1"/>
            <w:noWrap/>
          </w:tcPr>
          <w:p>
            <w:pPr>
              <w:widowControl/>
              <w:jc w:val="center"/>
              <w:rPr>
                <w:rFonts w:cs="宋体"/>
                <w:kern w:val="0"/>
                <w:szCs w:val="21"/>
              </w:rPr>
            </w:pPr>
            <w:r>
              <w:t xml:space="preserve">14.1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continue"/>
            <w:shd w:val="clear" w:color="auto" w:fill="EBF1FA" w:themeFill="background1"/>
            <w:noWrap/>
            <w:vAlign w:val="center"/>
          </w:tcPr>
          <w:p>
            <w:pPr>
              <w:jc w:val="center"/>
              <w:rPr>
                <w:rFonts w:cs="宋体"/>
                <w:kern w:val="0"/>
                <w:szCs w:val="21"/>
              </w:rPr>
            </w:pPr>
          </w:p>
        </w:tc>
        <w:tc>
          <w:tcPr>
            <w:tcW w:w="920" w:type="dxa"/>
            <w:vMerge w:val="continue"/>
            <w:shd w:val="clear" w:color="auto" w:fill="EBF1FA" w:themeFill="background1"/>
            <w:noWrap/>
            <w:vAlign w:val="center"/>
          </w:tcPr>
          <w:p>
            <w:pPr>
              <w:jc w:val="center"/>
              <w:rPr>
                <w:rFonts w:cs="宋体"/>
                <w:kern w:val="0"/>
                <w:szCs w:val="21"/>
              </w:rPr>
            </w:pP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82</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95.0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1840</w:t>
            </w:r>
          </w:p>
        </w:tc>
        <w:tc>
          <w:tcPr>
            <w:tcW w:w="1136" w:type="dxa"/>
            <w:shd w:val="clear" w:color="auto" w:fill="EBF1FA" w:themeFill="background1"/>
            <w:noWrap/>
          </w:tcPr>
          <w:p>
            <w:pPr>
              <w:widowControl/>
              <w:jc w:val="center"/>
              <w:rPr>
                <w:rFonts w:cs="宋体"/>
                <w:kern w:val="0"/>
                <w:szCs w:val="21"/>
              </w:rPr>
            </w:pPr>
            <w:r>
              <w:t xml:space="preserve">6.6 </w:t>
            </w:r>
          </w:p>
        </w:tc>
        <w:tc>
          <w:tcPr>
            <w:tcW w:w="1134" w:type="dxa"/>
            <w:shd w:val="clear" w:color="auto" w:fill="EBF1FA" w:themeFill="background1"/>
            <w:noWrap/>
          </w:tcPr>
          <w:p>
            <w:pPr>
              <w:widowControl/>
              <w:jc w:val="center"/>
              <w:rPr>
                <w:rFonts w:cs="宋体"/>
                <w:kern w:val="0"/>
                <w:szCs w:val="21"/>
              </w:rPr>
            </w:pPr>
            <w:r>
              <w:t xml:space="preserve">10.8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continue"/>
            <w:shd w:val="clear" w:color="auto" w:fill="EBF1FA" w:themeFill="background1"/>
            <w:noWrap/>
            <w:vAlign w:val="center"/>
          </w:tcPr>
          <w:p>
            <w:pPr>
              <w:jc w:val="center"/>
              <w:rPr>
                <w:rFonts w:cs="宋体"/>
                <w:kern w:val="0"/>
                <w:szCs w:val="21"/>
              </w:rPr>
            </w:pPr>
          </w:p>
        </w:tc>
        <w:tc>
          <w:tcPr>
            <w:tcW w:w="920" w:type="dxa"/>
            <w:vMerge w:val="continue"/>
            <w:shd w:val="clear" w:color="auto" w:fill="EBF1FA" w:themeFill="background1"/>
            <w:noWrap/>
            <w:vAlign w:val="center"/>
          </w:tcPr>
          <w:p>
            <w:pPr>
              <w:jc w:val="center"/>
              <w:rPr>
                <w:rFonts w:cs="宋体"/>
                <w:kern w:val="0"/>
                <w:szCs w:val="21"/>
              </w:rPr>
            </w:pP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20%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74</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93.4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1835</w:t>
            </w:r>
          </w:p>
        </w:tc>
        <w:tc>
          <w:tcPr>
            <w:tcW w:w="1136" w:type="dxa"/>
            <w:shd w:val="clear" w:color="auto" w:fill="EBF1FA" w:themeFill="background1"/>
            <w:noWrap/>
          </w:tcPr>
          <w:p>
            <w:pPr>
              <w:widowControl/>
              <w:jc w:val="center"/>
              <w:rPr>
                <w:rFonts w:cs="宋体"/>
                <w:kern w:val="0"/>
                <w:szCs w:val="21"/>
              </w:rPr>
            </w:pPr>
            <w:r>
              <w:t xml:space="preserve">6.8 </w:t>
            </w:r>
          </w:p>
        </w:tc>
        <w:tc>
          <w:tcPr>
            <w:tcW w:w="1134" w:type="dxa"/>
            <w:shd w:val="clear" w:color="auto" w:fill="EBF1FA" w:themeFill="background1"/>
            <w:noWrap/>
          </w:tcPr>
          <w:p>
            <w:pPr>
              <w:widowControl/>
              <w:jc w:val="center"/>
              <w:rPr>
                <w:rFonts w:cs="宋体"/>
                <w:kern w:val="0"/>
                <w:szCs w:val="21"/>
              </w:rPr>
            </w:pPr>
            <w:r>
              <w:t xml:space="preserve">11.4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continue"/>
            <w:shd w:val="clear" w:color="auto" w:fill="EBF1FA" w:themeFill="background1"/>
            <w:noWrap/>
            <w:vAlign w:val="center"/>
          </w:tcPr>
          <w:p>
            <w:pPr>
              <w:jc w:val="center"/>
              <w:rPr>
                <w:rFonts w:cs="宋体"/>
                <w:kern w:val="0"/>
                <w:szCs w:val="21"/>
              </w:rPr>
            </w:pPr>
          </w:p>
        </w:tc>
        <w:tc>
          <w:tcPr>
            <w:tcW w:w="920" w:type="dxa"/>
            <w:vMerge w:val="continue"/>
            <w:shd w:val="clear" w:color="auto" w:fill="EBF1FA" w:themeFill="background1"/>
            <w:noWrap/>
            <w:vAlign w:val="center"/>
          </w:tcPr>
          <w:p>
            <w:pPr>
              <w:jc w:val="center"/>
              <w:rPr>
                <w:rFonts w:cs="宋体"/>
                <w:kern w:val="0"/>
                <w:szCs w:val="21"/>
              </w:rPr>
            </w:pP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30%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73</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94.0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1820</w:t>
            </w:r>
          </w:p>
        </w:tc>
        <w:tc>
          <w:tcPr>
            <w:tcW w:w="1136" w:type="dxa"/>
            <w:shd w:val="clear" w:color="auto" w:fill="EBF1FA" w:themeFill="background1"/>
            <w:noWrap/>
          </w:tcPr>
          <w:p>
            <w:pPr>
              <w:widowControl/>
              <w:jc w:val="center"/>
              <w:rPr>
                <w:rFonts w:cs="宋体"/>
                <w:kern w:val="0"/>
                <w:szCs w:val="21"/>
              </w:rPr>
            </w:pPr>
            <w:r>
              <w:t xml:space="preserve">4.9 </w:t>
            </w:r>
          </w:p>
        </w:tc>
        <w:tc>
          <w:tcPr>
            <w:tcW w:w="1134" w:type="dxa"/>
            <w:shd w:val="clear" w:color="auto" w:fill="EBF1FA" w:themeFill="background1"/>
            <w:noWrap/>
          </w:tcPr>
          <w:p>
            <w:pPr>
              <w:widowControl/>
              <w:jc w:val="center"/>
              <w:rPr>
                <w:rFonts w:cs="宋体"/>
                <w:kern w:val="0"/>
                <w:szCs w:val="21"/>
              </w:rPr>
            </w:pPr>
            <w:r>
              <w:t xml:space="preserve">10.1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068" w:type="dxa"/>
            <w:vMerge w:val="continue"/>
            <w:shd w:val="clear" w:color="auto" w:fill="EBF1FA" w:themeFill="background1"/>
            <w:noWrap/>
            <w:vAlign w:val="center"/>
          </w:tcPr>
          <w:p>
            <w:pPr>
              <w:widowControl/>
              <w:jc w:val="center"/>
              <w:rPr>
                <w:rFonts w:cs="宋体"/>
                <w:kern w:val="0"/>
                <w:szCs w:val="21"/>
              </w:rPr>
            </w:pPr>
          </w:p>
        </w:tc>
        <w:tc>
          <w:tcPr>
            <w:tcW w:w="920" w:type="dxa"/>
            <w:vMerge w:val="continue"/>
            <w:shd w:val="clear" w:color="auto" w:fill="EBF1FA" w:themeFill="background1"/>
            <w:noWrap/>
            <w:vAlign w:val="center"/>
          </w:tcPr>
          <w:p>
            <w:pPr>
              <w:widowControl/>
              <w:jc w:val="center"/>
              <w:rPr>
                <w:rFonts w:cs="宋体"/>
                <w:kern w:val="0"/>
                <w:szCs w:val="21"/>
              </w:rPr>
            </w:pP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40%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70</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 xml:space="preserve">93.8 </w:t>
            </w:r>
          </w:p>
        </w:tc>
        <w:tc>
          <w:tcPr>
            <w:tcW w:w="929" w:type="dxa"/>
            <w:shd w:val="clear" w:color="auto" w:fill="EBF1FA" w:themeFill="background1"/>
            <w:noWrap/>
            <w:vAlign w:val="center"/>
          </w:tcPr>
          <w:p>
            <w:pPr>
              <w:widowControl/>
              <w:jc w:val="center"/>
              <w:rPr>
                <w:rFonts w:cs="宋体"/>
                <w:kern w:val="0"/>
                <w:szCs w:val="21"/>
              </w:rPr>
            </w:pPr>
            <w:r>
              <w:rPr>
                <w:rFonts w:hint="eastAsia" w:cs="宋体"/>
                <w:kern w:val="0"/>
                <w:szCs w:val="21"/>
              </w:rPr>
              <w:t>1810</w:t>
            </w:r>
          </w:p>
        </w:tc>
        <w:tc>
          <w:tcPr>
            <w:tcW w:w="1136" w:type="dxa"/>
            <w:shd w:val="clear" w:color="auto" w:fill="EBF1FA" w:themeFill="background1"/>
            <w:noWrap/>
          </w:tcPr>
          <w:p>
            <w:pPr>
              <w:widowControl/>
              <w:jc w:val="center"/>
              <w:rPr>
                <w:rFonts w:cs="宋体"/>
                <w:kern w:val="0"/>
                <w:szCs w:val="21"/>
              </w:rPr>
            </w:pPr>
            <w:r>
              <w:t xml:space="preserve">5.5 </w:t>
            </w:r>
          </w:p>
        </w:tc>
        <w:tc>
          <w:tcPr>
            <w:tcW w:w="1134" w:type="dxa"/>
            <w:shd w:val="clear" w:color="auto" w:fill="EBF1FA" w:themeFill="background1"/>
            <w:noWrap/>
          </w:tcPr>
          <w:p>
            <w:pPr>
              <w:widowControl/>
              <w:jc w:val="center"/>
              <w:rPr>
                <w:rFonts w:cs="宋体"/>
                <w:kern w:val="0"/>
                <w:szCs w:val="21"/>
              </w:rPr>
            </w:pPr>
            <w:r>
              <w:t xml:space="preserve">10.0 </w:t>
            </w:r>
          </w:p>
        </w:tc>
      </w:tr>
    </w:tbl>
    <w:p>
      <w:pPr>
        <w:pStyle w:val="35"/>
        <w:spacing w:line="360" w:lineRule="auto"/>
      </w:pPr>
      <w:r>
        <w:rPr>
          <w:rFonts w:hint="eastAsia"/>
        </w:rPr>
        <w:t>试验结果表明，当玻璃再生细骨料取代率超过2</w:t>
      </w:r>
      <w:r>
        <w:t>0%,</w:t>
      </w:r>
      <w:r>
        <w:rPr>
          <w:rFonts w:hint="eastAsia"/>
        </w:rPr>
        <w:t>强度等级超过M</w:t>
      </w:r>
      <w:r>
        <w:t>20</w:t>
      </w:r>
      <w:r>
        <w:rPr>
          <w:rFonts w:hint="eastAsia"/>
        </w:rPr>
        <w:t>时，砂浆强度会明显下降；当陶瓷再生细骨料取代率超过2</w:t>
      </w:r>
      <w:r>
        <w:t>0</w:t>
      </w:r>
      <w:r>
        <w:rPr>
          <w:rFonts w:hint="eastAsia"/>
        </w:rPr>
        <w:t>%，强度等级超过</w:t>
      </w:r>
      <w:r>
        <w:t>M10</w:t>
      </w:r>
      <w:r>
        <w:rPr>
          <w:rFonts w:hint="eastAsia"/>
        </w:rPr>
        <w:t>时，砂浆强度会明显下降。因此，玻璃再生细骨料砂浆适用的最高强度等级为</w:t>
      </w:r>
      <w:r>
        <w:t>M15</w:t>
      </w:r>
      <w:r>
        <w:rPr>
          <w:rFonts w:hint="eastAsia"/>
        </w:rPr>
        <w:t>，陶瓷再生细骨料砂浆适用的最高强度等级为M7.</w:t>
      </w:r>
      <w:r>
        <w:t>5</w:t>
      </w:r>
      <w:r>
        <w:rPr>
          <w:rFonts w:hint="eastAsia"/>
        </w:rPr>
        <w:t>。</w:t>
      </w:r>
    </w:p>
    <w:p>
      <w:pPr>
        <w:pStyle w:val="54"/>
        <w:numPr>
          <w:ilvl w:val="0"/>
          <w:numId w:val="0"/>
        </w:numPr>
        <w:spacing w:line="360" w:lineRule="auto"/>
        <w:rPr>
          <w:rFonts w:hAnsi="宋体"/>
        </w:rPr>
      </w:pPr>
      <w:r>
        <w:rPr>
          <w:rFonts w:ascii="黑体" w:hAnsi="黑体" w:eastAsia="黑体"/>
          <w:b/>
          <w:bCs/>
        </w:rPr>
        <w:t>6.1.4</w:t>
      </w:r>
      <w:r>
        <w:rPr>
          <w:rFonts w:hint="eastAsia" w:hAnsi="宋体"/>
        </w:rPr>
        <w:t>掺入玻璃/陶瓷再生细骨料的砂浆在同等搅拌时间下，对稠度的影响差异较大，总体上，掺入玻璃再生细骨料的砂浆稠度会随着玻璃再生细骨料掺量的增加而增大，掺入陶瓷再生细骨料的砂浆稠度会随着陶瓷再生细骨料掺量的增加而减小。因此，玻璃/陶瓷再生细骨料砂浆的搅拌时间用通过试验确定，以确保拌制的玻璃/陶瓷再生细骨料砂浆的稠度满足《预拌砂浆应用技术规程》</w:t>
      </w:r>
      <w:r>
        <w:rPr>
          <w:rFonts w:hAnsi="宋体"/>
        </w:rPr>
        <w:t>JGJ/T 223</w:t>
      </w:r>
      <w:r>
        <w:rPr>
          <w:rFonts w:hint="eastAsia" w:hAnsi="宋体"/>
        </w:rPr>
        <w:t>的要求为原则。</w:t>
      </w:r>
    </w:p>
    <w:p>
      <w:pPr>
        <w:pStyle w:val="51"/>
        <w:spacing w:before="156" w:after="156"/>
      </w:pPr>
      <w:r>
        <w:rPr>
          <w:rFonts w:hint="eastAsia"/>
        </w:rPr>
        <w:t>配合比设计</w:t>
      </w:r>
    </w:p>
    <w:p>
      <w:pPr>
        <w:pStyle w:val="54"/>
        <w:spacing w:line="360" w:lineRule="auto"/>
      </w:pPr>
      <w:r>
        <w:rPr>
          <w:rFonts w:hint="eastAsia"/>
        </w:rPr>
        <w:t>试验研究结果表明，在高碱性条件下，玻璃再生细骨料存在潜在的碱-硅酸反应危害，因此，用于拌制砂浆时，对水泥碱含量的要求与本条文说明5</w:t>
      </w:r>
      <w:r>
        <w:t>.2.1</w:t>
      </w:r>
      <w:r>
        <w:rPr>
          <w:rFonts w:hint="eastAsia"/>
        </w:rPr>
        <w:t>条规定相同，以确保砂浆耐久性满足要求。</w:t>
      </w:r>
    </w:p>
    <w:p>
      <w:pPr>
        <w:pStyle w:val="27"/>
        <w:spacing w:before="156" w:after="156" w:line="360" w:lineRule="auto"/>
        <w:rPr>
          <w:rFonts w:ascii="宋体" w:eastAsia="宋体" w:hAnsiTheme="minorEastAsia"/>
          <w:szCs w:val="21"/>
        </w:rPr>
      </w:pPr>
      <w:r>
        <w:rPr>
          <w:rFonts w:hint="eastAsia" w:ascii="宋体" w:eastAsia="宋体" w:hAnsiTheme="minorEastAsia"/>
          <w:szCs w:val="21"/>
        </w:rPr>
        <w:t>无论是普通砂浆，还是再生骨料砂浆，满足砂浆和易性、强度、体积稳定性和耐久性的要求，是基本的、通用的要求。现行行业标准</w:t>
      </w:r>
      <w:r>
        <w:rPr>
          <w:rFonts w:hint="eastAsia" w:asciiTheme="minorEastAsia" w:hAnsiTheme="minorEastAsia" w:eastAsiaTheme="minorEastAsia"/>
        </w:rPr>
        <w:t>《建筑砂浆基本性能试验方法标准》</w:t>
      </w:r>
      <w:r>
        <w:rPr>
          <w:rFonts w:asciiTheme="minorEastAsia" w:hAnsiTheme="minorEastAsia" w:eastAsiaTheme="minorEastAsia"/>
        </w:rPr>
        <w:t>JGJ/T 70</w:t>
      </w:r>
      <w:r>
        <w:rPr>
          <w:rFonts w:hint="eastAsia" w:asciiTheme="minorEastAsia" w:hAnsiTheme="minorEastAsia" w:eastAsiaTheme="minorEastAsia"/>
          <w:shd w:val="clear" w:color="auto" w:fill="EBF1FA" w:themeFill="background1"/>
        </w:rPr>
        <w:t>规定的设计方法和步骤同样适用于玻璃/陶瓷再生细骨料砂浆</w:t>
      </w:r>
      <w:r>
        <w:rPr>
          <w:rFonts w:hint="eastAsia"/>
        </w:rPr>
        <w:t>。</w:t>
      </w:r>
    </w:p>
    <w:p>
      <w:pPr>
        <w:tabs>
          <w:tab w:val="left" w:pos="-117"/>
          <w:tab w:val="left" w:pos="0"/>
        </w:tabs>
        <w:spacing w:line="360" w:lineRule="auto"/>
        <w:ind w:left="577" w:leftChars="200" w:hanging="157" w:hangingChars="75"/>
        <w:rPr>
          <w:rFonts w:asciiTheme="minorEastAsia" w:eastAsiaTheme="minorEastAsia"/>
        </w:rPr>
      </w:pPr>
      <w:r>
        <w:rPr>
          <w:rFonts w:hint="eastAsia"/>
        </w:rPr>
        <w:t>试验研究发现，在拌制M5</w:t>
      </w:r>
      <w:r>
        <w:rPr>
          <w:rFonts w:ascii="Times New Roman" w:hAnsi="Times New Roman" w:cs="Times New Roman"/>
        </w:rPr>
        <w:t>~</w:t>
      </w:r>
      <w:r>
        <w:rPr>
          <w:rFonts w:hint="eastAsia"/>
        </w:rPr>
        <w:t>M20</w:t>
      </w:r>
      <w:r>
        <w:rPr>
          <w:rFonts w:hint="eastAsia" w:asciiTheme="minorEastAsia" w:eastAsiaTheme="minorEastAsia"/>
        </w:rPr>
        <w:t>玻璃再生细骨料砂浆时，砂浆的稠度、保水率等指标和</w:t>
      </w:r>
    </w:p>
    <w:p>
      <w:pPr>
        <w:tabs>
          <w:tab w:val="left" w:pos="-117"/>
          <w:tab w:val="left" w:pos="0"/>
        </w:tabs>
        <w:spacing w:line="360" w:lineRule="auto"/>
        <w:rPr>
          <w:rFonts w:asciiTheme="minorEastAsia" w:eastAsiaTheme="minorEastAsia"/>
        </w:rPr>
      </w:pPr>
      <w:r>
        <w:rPr>
          <w:rFonts w:hint="eastAsia" w:asciiTheme="minorEastAsia" w:eastAsiaTheme="minorEastAsia"/>
        </w:rPr>
        <w:t>普通砂浆基本相当，但砂浆的容重和强度会随着玻璃再生细骨料取代率的提高而降低。当砂浆强度等级达到M20，玻璃再生细骨料取代率超过20%时，砂浆的7d和28d抗压强度明显下降；当砂浆强度等级为M10，陶瓷再生细骨料取代率</w:t>
      </w:r>
      <w:r>
        <w:rPr>
          <w:rFonts w:hint="eastAsia" w:cs="宋体"/>
        </w:rPr>
        <w:t>超过1</w:t>
      </w:r>
      <w:r>
        <w:rPr>
          <w:rFonts w:cs="宋体"/>
        </w:rPr>
        <w:t>0</w:t>
      </w:r>
      <w:r>
        <w:rPr>
          <w:rFonts w:hint="eastAsia" w:cs="宋体"/>
        </w:rPr>
        <w:t>%</w:t>
      </w:r>
      <w:r>
        <w:rPr>
          <w:rFonts w:cs="宋体"/>
        </w:rPr>
        <w:t>时</w:t>
      </w:r>
      <w:r>
        <w:rPr>
          <w:rFonts w:hint="eastAsia" w:cs="宋体"/>
        </w:rPr>
        <w:t>，陶瓷再生细骨料砂浆的</w:t>
      </w:r>
      <w:r>
        <w:rPr>
          <w:rFonts w:hint="eastAsia" w:asciiTheme="minorEastAsia" w:eastAsiaTheme="minorEastAsia"/>
        </w:rPr>
        <w:t>7d和28d抗压强度明显下降</w:t>
      </w:r>
      <w:r>
        <w:rPr>
          <w:rFonts w:hint="eastAsia" w:cs="宋体"/>
        </w:rPr>
        <w:t>。</w:t>
      </w:r>
    </w:p>
    <w:p>
      <w:pPr>
        <w:pStyle w:val="54"/>
        <w:numPr>
          <w:ilvl w:val="0"/>
          <w:numId w:val="0"/>
        </w:numPr>
        <w:spacing w:line="360" w:lineRule="auto"/>
        <w:ind w:firstLine="420" w:firstLineChars="200"/>
      </w:pPr>
      <w:r>
        <w:rPr>
          <w:rFonts w:hint="eastAsia"/>
        </w:rPr>
        <w:t>试验研究发现，掺入陶瓷再生细骨料可引起砂浆含气量升高，且掺量越大，引气效果越明显，造成砂浆强度大幅下降。试验中通过调整外加剂配方，增加消泡组分，可有效控制砂浆含气量。试验发现，只有当陶瓷再生细骨料砂浆含气量与基准砂浆含气量之差不超过1</w:t>
      </w:r>
      <w:r>
        <w:t>.0</w:t>
      </w:r>
      <w:r>
        <w:rPr>
          <w:rFonts w:hint="eastAsia"/>
        </w:rPr>
        <w:t>%时，砂浆抗压强度才不会明显下降。</w:t>
      </w:r>
    </w:p>
    <w:p>
      <w:pPr>
        <w:pStyle w:val="54"/>
        <w:numPr>
          <w:ilvl w:val="0"/>
          <w:numId w:val="0"/>
        </w:numPr>
        <w:spacing w:line="360" w:lineRule="auto"/>
      </w:pPr>
      <w:r>
        <w:rPr>
          <w:rFonts w:hint="eastAsia" w:ascii="黑体" w:hAnsi="黑体" w:eastAsia="黑体"/>
          <w:b/>
        </w:rPr>
        <w:t>6.2.3</w:t>
      </w:r>
      <w:r>
        <w:t>因为再生骨料的原材料来源广泛，质量不易控制，一般</w:t>
      </w:r>
      <w:r>
        <w:rPr>
          <w:rFonts w:hint="eastAsia"/>
        </w:rPr>
        <w:t>砂浆</w:t>
      </w:r>
      <w:r>
        <w:t>中不宜同时掺用多种再生骨料。因此不建议在掺用玻璃/陶瓷再生细骨料的同时掺用其他再生骨料，如果掺用其他再生骨料，应通过试验确定玻璃/陶瓷再生细骨料的取代率。</w:t>
      </w:r>
    </w:p>
    <w:p>
      <w:pPr>
        <w:pStyle w:val="51"/>
        <w:spacing w:before="156" w:after="156"/>
      </w:pPr>
      <w:r>
        <w:rPr>
          <w:rFonts w:hint="eastAsia"/>
        </w:rPr>
        <w:t>制备和运输</w:t>
      </w:r>
    </w:p>
    <w:p>
      <w:pPr>
        <w:pStyle w:val="54"/>
        <w:spacing w:line="360" w:lineRule="auto"/>
        <w:rPr>
          <w:rFonts w:asciiTheme="minorEastAsia" w:eastAsiaTheme="minorEastAsia"/>
        </w:rPr>
      </w:pPr>
      <w:r>
        <w:rPr>
          <w:rFonts w:hint="eastAsia" w:ascii="黑体" w:hAnsi="黑体" w:eastAsia="黑体"/>
          <w:b/>
          <w:bCs/>
        </w:rPr>
        <w:t>-</w:t>
      </w:r>
      <w:r>
        <w:rPr>
          <w:rFonts w:ascii="黑体" w:hAnsi="黑体" w:eastAsia="黑体"/>
          <w:b/>
          <w:bCs/>
        </w:rPr>
        <w:t>6.3.5</w:t>
      </w:r>
      <w:r>
        <w:rPr>
          <w:rFonts w:hint="eastAsia" w:asciiTheme="minorEastAsia" w:eastAsiaTheme="minorEastAsia"/>
        </w:rPr>
        <w:t>出于环保以及质量控制的角度考虑，玻璃/陶瓷再生细骨料砂浆应采用预拌方式生产</w:t>
      </w:r>
      <w:r>
        <w:rPr>
          <w:rFonts w:asciiTheme="minorEastAsia" w:eastAsiaTheme="minorEastAsia"/>
        </w:rPr>
        <w:t>。制备包</w:t>
      </w:r>
      <w:r>
        <w:rPr>
          <w:rFonts w:hint="eastAsia" w:asciiTheme="minorEastAsia" w:eastAsiaTheme="minorEastAsia"/>
        </w:rPr>
        <w:t>括原料储存、计量、搅拌生产等环节，按照国家标准《预拌砂浆》</w:t>
      </w:r>
      <w:r>
        <w:rPr>
          <w:rFonts w:asciiTheme="minorEastAsia" w:eastAsiaTheme="minorEastAsia"/>
        </w:rPr>
        <w:t>GB/T 25181相关规定执行</w:t>
      </w:r>
      <w:r>
        <w:rPr>
          <w:rFonts w:hint="eastAsia" w:asciiTheme="minorEastAsia" w:eastAsiaTheme="minorEastAsia"/>
        </w:rPr>
        <w:t>；运输、</w:t>
      </w:r>
      <w:r>
        <w:rPr>
          <w:rFonts w:asciiTheme="minorEastAsia" w:eastAsiaTheme="minorEastAsia"/>
        </w:rPr>
        <w:t>进厂检验、砂浆储存、拌合、</w:t>
      </w:r>
      <w:r>
        <w:rPr>
          <w:rFonts w:hint="eastAsia" w:asciiTheme="minorEastAsia" w:eastAsiaTheme="minorEastAsia"/>
        </w:rPr>
        <w:t>基层要求、施工操作等环节，按照《预拌砂浆应用技术规程》</w:t>
      </w:r>
      <w:r>
        <w:rPr>
          <w:rFonts w:asciiTheme="minorEastAsia" w:eastAsiaTheme="minorEastAsia"/>
        </w:rPr>
        <w:t>JGJ/T 223的相关规定执行</w:t>
      </w:r>
      <w:r>
        <w:rPr>
          <w:rFonts w:hint="eastAsia" w:asciiTheme="minorEastAsia" w:eastAsiaTheme="minorEastAsia"/>
        </w:rPr>
        <w:t>。</w:t>
      </w:r>
    </w:p>
    <w:p>
      <w:pPr>
        <w:pStyle w:val="51"/>
        <w:spacing w:before="156" w:after="156"/>
      </w:pPr>
      <w:r>
        <w:rPr>
          <w:rFonts w:hint="eastAsia"/>
        </w:rPr>
        <w:t>质量检验与验收</w:t>
      </w:r>
    </w:p>
    <w:p>
      <w:pPr>
        <w:pStyle w:val="54"/>
        <w:spacing w:line="360" w:lineRule="auto"/>
      </w:pPr>
      <w:r>
        <w:rPr>
          <w:rFonts w:hint="eastAsia" w:ascii="黑体" w:hAnsi="黑体" w:eastAsia="黑体"/>
          <w:b/>
          <w:bCs/>
        </w:rPr>
        <w:t>-</w:t>
      </w:r>
      <w:r>
        <w:rPr>
          <w:rFonts w:ascii="黑体" w:hAnsi="黑体" w:eastAsia="黑体"/>
          <w:b/>
          <w:bCs/>
        </w:rPr>
        <w:t>6.4.2</w:t>
      </w:r>
      <w:r>
        <w:rPr>
          <w:rFonts w:hint="eastAsia"/>
        </w:rPr>
        <w:t>玻璃/陶瓷再生细骨料砂浆施工质量验收遵循《预拌砂浆应用技术规程》</w:t>
      </w:r>
      <w:r>
        <w:t>JGJ/T 223</w:t>
      </w:r>
      <w:r>
        <w:rPr>
          <w:rFonts w:hint="eastAsia"/>
        </w:rPr>
        <w:t>的同时还应满足</w:t>
      </w:r>
      <w:r>
        <w:rPr>
          <w:rFonts w:hint="eastAsia" w:hAnsi="宋体"/>
        </w:rPr>
        <w:t>福建省地方标准《福建省预拌砂浆生产与应用技术规程》</w:t>
      </w:r>
      <w:r>
        <w:rPr>
          <w:rFonts w:hAnsi="宋体"/>
        </w:rPr>
        <w:t>DBJ/T 13-76的</w:t>
      </w:r>
      <w:r>
        <w:rPr>
          <w:rFonts w:hint="eastAsia" w:hAnsi="宋体"/>
        </w:rPr>
        <w:t>相关</w:t>
      </w:r>
      <w:r>
        <w:rPr>
          <w:rFonts w:hAnsi="宋体"/>
        </w:rPr>
        <w:t>规定</w:t>
      </w:r>
      <w:r>
        <w:t>。</w:t>
      </w:r>
    </w:p>
    <w:sectPr>
      <w:headerReference r:id="rId6" w:type="default"/>
      <w:footerReference r:id="rId7" w:type="default"/>
      <w:pgSz w:w="11906" w:h="16838"/>
      <w:pgMar w:top="1440" w:right="1701" w:bottom="1440" w:left="1814" w:header="851" w:footer="851"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隶书">
    <w:altName w:val="微软雅黑"/>
    <w:panose1 w:val="0201050906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隶书" w:eastAsia="隶书"/>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95"/>
        <w:tab w:val="right" w:pos="8391"/>
      </w:tabs>
      <w:jc w:val="center"/>
      <w:rPr>
        <w:sz w:val="18"/>
        <w:szCs w:val="18"/>
      </w:rPr>
    </w:pPr>
    <w:r>
      <w:rPr>
        <w:sz w:val="18"/>
        <w:szCs w:val="18"/>
      </w:rPr>
      <mc:AlternateContent>
        <mc:Choice Requires="wps">
          <w:drawing>
            <wp:anchor distT="0" distB="0" distL="114300" distR="114300" simplePos="0" relativeHeight="251659264" behindDoc="0" locked="0" layoutInCell="1" allowOverlap="1">
              <wp:simplePos x="0" y="0"/>
              <wp:positionH relativeFrom="margin">
                <wp:posOffset>2610485</wp:posOffset>
              </wp:positionH>
              <wp:positionV relativeFrom="paragraph">
                <wp:posOffset>-2540</wp:posOffset>
              </wp:positionV>
              <wp:extent cx="390525" cy="142875"/>
              <wp:effectExtent l="0" t="0" r="9525" b="9525"/>
              <wp:wrapNone/>
              <wp:docPr id="7" name="文本框 7"/>
              <wp:cNvGraphicFramePr/>
              <a:graphic xmlns:a="http://schemas.openxmlformats.org/drawingml/2006/main">
                <a:graphicData uri="http://schemas.microsoft.com/office/word/2010/wordprocessingShape">
                  <wps:wsp>
                    <wps:cNvSpPr txBox="1"/>
                    <wps:spPr>
                      <a:xfrm>
                        <a:off x="0" y="0"/>
                        <a:ext cx="390525" cy="1428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sz w:val="18"/>
                              <w:szCs w:val="18"/>
                            </w:rPr>
                            <w:fldChar w:fldCharType="begin"/>
                          </w:r>
                          <w:r>
                            <w:rPr>
                              <w:rFonts w:hint="eastAsia"/>
                              <w:sz w:val="18"/>
                              <w:szCs w:val="18"/>
                            </w:rPr>
                            <w:instrText xml:space="preserve"> PAGE  \* Arabic  \* MERGEFORMAT </w:instrText>
                          </w:r>
                          <w:r>
                            <w:rPr>
                              <w:rFonts w:hint="eastAsia"/>
                              <w:sz w:val="18"/>
                              <w:szCs w:val="18"/>
                            </w:rPr>
                            <w:fldChar w:fldCharType="separate"/>
                          </w:r>
                          <w:r>
                            <w:rPr>
                              <w:sz w:val="18"/>
                              <w:szCs w:val="18"/>
                            </w:rPr>
                            <w:t>2</w:t>
                          </w:r>
                          <w:r>
                            <w:rPr>
                              <w:rFonts w:hint="eastAsia"/>
                              <w:sz w:val="18"/>
                              <w:szCs w:val="18"/>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205.55pt;margin-top:-0.2pt;height:11.25pt;width:30.75pt;mso-position-horizontal-relative:margin;z-index:251659264;mso-width-relative:page;mso-height-relative:page;" filled="f" stroked="f" coordsize="21600,21600" o:gfxdata="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Gu14o1gAAAAgBAAAPAAAA&#10;AAAAAAEAIAAAACIAAABkcnMvZG93bnJldi54bWxQSwECFAAUAAAACACHTuJAD7ejuRcCAAAHBAAA&#10;DgAAAAAAAAABACAAAAAlAQAAZHJzL2Uyb0RvYy54bWxQSwUGAAAAAAYABgBZAQAArgUAAAAA&#10;">
              <v:fill on="f" focussize="0,0"/>
              <v:stroke on="f" weight="0.5pt"/>
              <v:imagedata o:title=""/>
              <o:lock v:ext="edit" aspectratio="f"/>
              <v:textbox inset="0mm,0mm,0mm,0mm">
                <w:txbxContent>
                  <w:p>
                    <w:r>
                      <w:rPr>
                        <w:rFonts w:hint="eastAsia"/>
                        <w:sz w:val="18"/>
                        <w:szCs w:val="18"/>
                      </w:rPr>
                      <w:fldChar w:fldCharType="begin"/>
                    </w:r>
                    <w:r>
                      <w:rPr>
                        <w:rFonts w:hint="eastAsia"/>
                        <w:sz w:val="18"/>
                        <w:szCs w:val="18"/>
                      </w:rPr>
                      <w:instrText xml:space="preserve"> PAGE  \* Arabic  \* MERGEFORMAT </w:instrText>
                    </w:r>
                    <w:r>
                      <w:rPr>
                        <w:rFonts w:hint="eastAsia"/>
                        <w:sz w:val="18"/>
                        <w:szCs w:val="18"/>
                      </w:rPr>
                      <w:fldChar w:fldCharType="separate"/>
                    </w:r>
                    <w:r>
                      <w:rPr>
                        <w:sz w:val="18"/>
                        <w:szCs w:val="18"/>
                      </w:rPr>
                      <w:t>2</w:t>
                    </w:r>
                    <w:r>
                      <w:rPr>
                        <w:rFonts w:hint="eastAsia"/>
                        <w:sz w:val="18"/>
                        <w:szCs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0" w:lineRule="atLeast"/>
      <w:rPr>
        <w:sz w:val="10"/>
        <w:szCs w:val="1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772B9D6"/>
    <w:multiLevelType w:val="singleLevel"/>
    <w:tmpl w:val="E772B9D6"/>
    <w:lvl w:ilvl="0" w:tentative="0">
      <w:start w:val="1"/>
      <w:numFmt w:val="decimal"/>
      <w:pStyle w:val="75"/>
      <w:suff w:val="space"/>
      <w:lvlText w:val="%1"/>
      <w:lvlJc w:val="left"/>
      <w:pPr>
        <w:tabs>
          <w:tab w:val="left" w:pos="0"/>
        </w:tabs>
        <w:ind w:left="0" w:firstLine="0"/>
      </w:pPr>
      <w:rPr>
        <w:rFonts w:hint="default"/>
      </w:rPr>
    </w:lvl>
  </w:abstractNum>
  <w:abstractNum w:abstractNumId="1">
    <w:nsid w:val="2A00B674"/>
    <w:multiLevelType w:val="multilevel"/>
    <w:tmpl w:val="2A00B674"/>
    <w:lvl w:ilvl="0" w:tentative="0">
      <w:start w:val="1"/>
      <w:numFmt w:val="decimal"/>
      <w:suff w:val="space"/>
      <w:lvlText w:val="%1"/>
      <w:lvlJc w:val="left"/>
      <w:pPr>
        <w:tabs>
          <w:tab w:val="left" w:pos="0"/>
        </w:tabs>
        <w:ind w:left="0" w:firstLine="0"/>
      </w:pPr>
      <w:rPr>
        <w:rFonts w:hint="default" w:ascii="黑体" w:hAnsi="黑体" w:eastAsia="黑体"/>
        <w:b w:val="0"/>
        <w:i w:val="0"/>
        <w:sz w:val="30"/>
        <w:szCs w:val="28"/>
      </w:rPr>
    </w:lvl>
    <w:lvl w:ilvl="1" w:tentative="0">
      <w:start w:val="1"/>
      <w:numFmt w:val="decimal"/>
      <w:pStyle w:val="25"/>
      <w:suff w:val="space"/>
      <w:lvlText w:val="%1.%2"/>
      <w:lvlJc w:val="left"/>
      <w:pPr>
        <w:ind w:left="0" w:firstLine="0"/>
      </w:pPr>
      <w:rPr>
        <w:rFonts w:hint="default" w:ascii="黑体" w:hAnsi="黑体" w:eastAsia="黑体"/>
        <w:b w:val="0"/>
        <w:i w:val="0"/>
        <w:sz w:val="21"/>
      </w:rPr>
    </w:lvl>
    <w:lvl w:ilvl="2" w:tentative="0">
      <w:start w:val="1"/>
      <w:numFmt w:val="decimal"/>
      <w:suff w:val="space"/>
      <w:lvlText w:val="%1.%2.%3"/>
      <w:lvlJc w:val="left"/>
      <w:pPr>
        <w:ind w:left="0" w:firstLine="0"/>
      </w:pPr>
      <w:rPr>
        <w:rFonts w:hint="default" w:ascii="黑体" w:hAnsi="黑体" w:eastAsia="黑体"/>
        <w:b w:val="0"/>
        <w:i w:val="0"/>
        <w:sz w:val="21"/>
      </w:rPr>
    </w:lvl>
    <w:lvl w:ilvl="3" w:tentative="0">
      <w:start w:val="1"/>
      <w:numFmt w:val="decimal"/>
      <w:suff w:val="space"/>
      <w:lvlText w:val="%1.%2.%3.%4"/>
      <w:lvlJc w:val="left"/>
      <w:pPr>
        <w:ind w:left="0" w:firstLine="0"/>
      </w:pPr>
      <w:rPr>
        <w:rFonts w:hint="default" w:ascii="黑体" w:hAnsi="黑体" w:eastAsia="黑体"/>
        <w:b w:val="0"/>
        <w:i w:val="0"/>
        <w:sz w:val="21"/>
      </w:rPr>
    </w:lvl>
    <w:lvl w:ilvl="4" w:tentative="0">
      <w:start w:val="1"/>
      <w:numFmt w:val="decimal"/>
      <w:suff w:val="space"/>
      <w:lvlText w:val="（%5）"/>
      <w:lvlJc w:val="left"/>
      <w:pPr>
        <w:tabs>
          <w:tab w:val="left" w:pos="0"/>
        </w:tabs>
        <w:ind w:left="0" w:firstLine="400"/>
      </w:pPr>
      <w:rPr>
        <w:rFonts w:hint="default" w:ascii="宋体" w:hAnsi="宋体" w:eastAsia="宋体" w:cs="宋体"/>
        <w:b w:val="0"/>
        <w:i w:val="0"/>
        <w:sz w:val="21"/>
      </w:rPr>
    </w:lvl>
    <w:lvl w:ilvl="5" w:tentative="0">
      <w:start w:val="1"/>
      <w:numFmt w:val="lowerLetter"/>
      <w:suff w:val="space"/>
      <w:lvlText w:val="(%6)"/>
      <w:lvlJc w:val="left"/>
      <w:pPr>
        <w:ind w:left="0" w:firstLine="800"/>
      </w:pPr>
      <w:rPr>
        <w:rFonts w:hint="default" w:ascii="宋体" w:hAnsi="宋体" w:eastAsia="宋体"/>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
    <w:nsid w:val="2CC4F5EB"/>
    <w:multiLevelType w:val="multilevel"/>
    <w:tmpl w:val="2CC4F5EB"/>
    <w:lvl w:ilvl="0" w:tentative="0">
      <w:start w:val="1"/>
      <w:numFmt w:val="decimal"/>
      <w:pStyle w:val="24"/>
      <w:suff w:val="space"/>
      <w:lvlText w:val="%1"/>
      <w:lvlJc w:val="left"/>
      <w:pPr>
        <w:tabs>
          <w:tab w:val="left" w:pos="0"/>
        </w:tabs>
        <w:ind w:left="0" w:firstLine="0"/>
      </w:pPr>
      <w:rPr>
        <w:rFonts w:hint="default" w:ascii="黑体" w:hAnsi="黑体" w:eastAsia="黑体" w:cs="Times New Roman"/>
        <w:b w:val="0"/>
        <w:i w:val="0"/>
        <w:sz w:val="32"/>
        <w:szCs w:val="32"/>
      </w:rPr>
    </w:lvl>
    <w:lvl w:ilvl="1" w:tentative="0">
      <w:start w:val="0"/>
      <w:numFmt w:val="decimal"/>
      <w:pStyle w:val="51"/>
      <w:suff w:val="space"/>
      <w:lvlText w:val="%1.%2"/>
      <w:lvlJc w:val="left"/>
      <w:pPr>
        <w:tabs>
          <w:tab w:val="left" w:pos="3685"/>
        </w:tabs>
        <w:ind w:left="3685" w:firstLine="0"/>
      </w:pPr>
      <w:rPr>
        <w:rFonts w:hint="default" w:ascii="黑体" w:hAnsi="黑体" w:eastAsia="黑体" w:cs="Times New Roman"/>
        <w:b w:val="0"/>
        <w:i w:val="0"/>
        <w:sz w:val="28"/>
        <w:szCs w:val="28"/>
      </w:rPr>
    </w:lvl>
    <w:lvl w:ilvl="2" w:tentative="0">
      <w:start w:val="1"/>
      <w:numFmt w:val="decimal"/>
      <w:pStyle w:val="27"/>
      <w:suff w:val="space"/>
      <w:lvlText w:val="%1.%2.%3"/>
      <w:lvlJc w:val="left"/>
      <w:pPr>
        <w:ind w:left="0" w:firstLine="0"/>
      </w:pPr>
      <w:rPr>
        <w:rFonts w:hint="default" w:ascii="黑体" w:hAnsi="黑体" w:eastAsia="黑体" w:cs="Times New Roman"/>
        <w:b/>
        <w:i w:val="0"/>
        <w:color w:val="auto"/>
        <w:sz w:val="21"/>
      </w:rPr>
    </w:lvl>
    <w:lvl w:ilvl="3" w:tentative="0">
      <w:start w:val="1"/>
      <w:numFmt w:val="decimal"/>
      <w:pStyle w:val="29"/>
      <w:suff w:val="space"/>
      <w:lvlText w:val="%1.%2.%3.%4"/>
      <w:lvlJc w:val="left"/>
      <w:pPr>
        <w:ind w:left="0" w:firstLine="0"/>
      </w:pPr>
      <w:rPr>
        <w:rFonts w:hint="default" w:ascii="黑体" w:hAnsi="黑体" w:eastAsia="黑体"/>
        <w:b w:val="0"/>
        <w:i w:val="0"/>
        <w:sz w:val="21"/>
      </w:rPr>
    </w:lvl>
    <w:lvl w:ilvl="4" w:tentative="0">
      <w:start w:val="1"/>
      <w:numFmt w:val="decimal"/>
      <w:pStyle w:val="31"/>
      <w:suff w:val="space"/>
      <w:lvlText w:val="%5"/>
      <w:lvlJc w:val="left"/>
      <w:pPr>
        <w:tabs>
          <w:tab w:val="left" w:pos="-117"/>
        </w:tabs>
        <w:ind w:left="1017" w:hanging="734"/>
      </w:pPr>
      <w:rPr>
        <w:rFonts w:hint="default" w:ascii="宋体" w:hAnsi="宋体" w:eastAsia="宋体" w:cs="宋体"/>
        <w:b w:val="0"/>
        <w:i w:val="0"/>
        <w:sz w:val="21"/>
      </w:rPr>
    </w:lvl>
    <w:lvl w:ilvl="5" w:tentative="0">
      <w:start w:val="1"/>
      <w:numFmt w:val="lowerLetter"/>
      <w:pStyle w:val="33"/>
      <w:suff w:val="space"/>
      <w:lvlText w:val="%6)"/>
      <w:lvlJc w:val="left"/>
      <w:pPr>
        <w:tabs>
          <w:tab w:val="left" w:pos="0"/>
        </w:tabs>
        <w:ind w:left="0" w:firstLine="800"/>
      </w:pPr>
      <w:rPr>
        <w:rFonts w:hint="default" w:ascii="宋体" w:hAnsi="宋体" w:eastAsia="宋体" w:cs="宋体"/>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
    <w:nsid w:val="4A3E0365"/>
    <w:multiLevelType w:val="multilevel"/>
    <w:tmpl w:val="4A3E0365"/>
    <w:lvl w:ilvl="0" w:tentative="0">
      <w:start w:val="1"/>
      <w:numFmt w:val="upperLetter"/>
      <w:pStyle w:val="40"/>
      <w:suff w:val="space"/>
      <w:lvlText w:val="附录%1"/>
      <w:lvlJc w:val="left"/>
      <w:pPr>
        <w:ind w:left="0" w:firstLine="0"/>
      </w:pPr>
      <w:rPr>
        <w:rFonts w:hint="eastAsia" w:eastAsia="黑体"/>
        <w:b w:val="0"/>
        <w:i w:val="0"/>
        <w:color w:val="auto"/>
        <w:sz w:val="21"/>
        <w:szCs w:val="21"/>
      </w:rPr>
    </w:lvl>
    <w:lvl w:ilvl="1" w:tentative="0">
      <w:start w:val="1"/>
      <w:numFmt w:val="decimal"/>
      <w:pStyle w:val="42"/>
      <w:suff w:val="space"/>
      <w:lvlText w:val="%1.%2"/>
      <w:lvlJc w:val="left"/>
      <w:pPr>
        <w:ind w:left="0" w:firstLine="0"/>
      </w:pPr>
      <w:rPr>
        <w:rFonts w:hint="default" w:ascii="黑体" w:hAnsi="黑体" w:eastAsia="黑体" w:cs="Arial"/>
        <w:b w:val="0"/>
        <w:bCs w:val="0"/>
        <w:i w:val="0"/>
        <w:iCs w:val="0"/>
        <w:caps w:val="0"/>
        <w:smallCaps w:val="0"/>
        <w:strike w:val="0"/>
        <w:dstrike w:val="0"/>
        <w:vanish w:val="0"/>
        <w:color w:val="000000"/>
        <w:spacing w:val="0"/>
        <w:position w:val="0"/>
        <w:sz w:val="21"/>
        <w:szCs w:val="21"/>
        <w:u w:val="none"/>
        <w:vertAlign w:val="baseline"/>
      </w:rPr>
    </w:lvl>
    <w:lvl w:ilvl="2" w:tentative="0">
      <w:start w:val="1"/>
      <w:numFmt w:val="decimal"/>
      <w:pStyle w:val="43"/>
      <w:suff w:val="space"/>
      <w:lvlText w:val="%1.%2.%3"/>
      <w:lvlJc w:val="left"/>
      <w:pPr>
        <w:ind w:left="426" w:firstLine="0"/>
      </w:pPr>
      <w:rPr>
        <w:rFonts w:hint="default" w:ascii="黑体" w:hAnsi="黑体" w:eastAsia="黑体" w:cs="Arial"/>
        <w:b w:val="0"/>
        <w:bCs w:val="0"/>
        <w:i w:val="0"/>
        <w:iCs w:val="0"/>
        <w:caps w:val="0"/>
        <w:smallCaps w:val="0"/>
        <w:strike w:val="0"/>
        <w:dstrike w:val="0"/>
        <w:vanish w:val="0"/>
        <w:color w:val="000000"/>
        <w:spacing w:val="0"/>
        <w:position w:val="0"/>
        <w:sz w:val="21"/>
        <w:u w:val="none"/>
        <w:vertAlign w:val="baseline"/>
      </w:rPr>
    </w:lvl>
    <w:lvl w:ilvl="3" w:tentative="0">
      <w:start w:val="1"/>
      <w:numFmt w:val="decimal"/>
      <w:pStyle w:val="44"/>
      <w:suff w:val="space"/>
      <w:lvlText w:val="%1.%2.%3.%4"/>
      <w:lvlJc w:val="left"/>
      <w:pPr>
        <w:ind w:left="0" w:firstLine="0"/>
      </w:pPr>
      <w:rPr>
        <w:rFonts w:hint="eastAsia" w:eastAsia="宋体"/>
        <w:b w:val="0"/>
        <w:i w:val="0"/>
        <w:sz w:val="21"/>
      </w:rPr>
    </w:lvl>
    <w:lvl w:ilvl="4" w:tentative="0">
      <w:start w:val="1"/>
      <w:numFmt w:val="decimal"/>
      <w:suff w:val="space"/>
      <w:lvlText w:val="(%5)"/>
      <w:lvlJc w:val="left"/>
      <w:pPr>
        <w:ind w:left="0" w:firstLine="386"/>
      </w:pPr>
      <w:rPr>
        <w:rFonts w:hint="eastAsia" w:ascii="宋体" w:hAnsi="宋体" w:eastAsia="宋体"/>
        <w:b w:val="0"/>
        <w:i w:val="0"/>
        <w:sz w:val="21"/>
      </w:rPr>
    </w:lvl>
    <w:lvl w:ilvl="5" w:tentative="0">
      <w:start w:val="1"/>
      <w:numFmt w:val="lowerLetter"/>
      <w:suff w:val="nothing"/>
      <w:lvlText w:val="（%6）"/>
      <w:lvlJc w:val="left"/>
      <w:pPr>
        <w:ind w:left="0" w:firstLine="386"/>
      </w:pPr>
      <w:rPr>
        <w:rFonts w:hint="eastAsia" w:eastAsia="宋体"/>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2"/>
  </w:num>
  <w:num w:numId="2">
    <w:abstractNumId w:val="1"/>
  </w:num>
  <w:num w:numId="3">
    <w:abstractNumId w:val="3"/>
  </w:num>
  <w:num w:numId="4">
    <w:abstractNumId w:val="0"/>
  </w:num>
  <w:num w:numId="5">
    <w:abstractNumId w:val="2"/>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6">
    <w:abstractNumId w:val="2"/>
    <w:lvlOverride w:ilvl="0">
      <w:startOverride w:val="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attachedTemplate r:id="rId1"/>
  <w:documentProtection w:enforcement="0"/>
  <w:defaultTabStop w:val="420"/>
  <w:drawingGridVerticalSpacing w:val="156"/>
  <w:noPunctuationKerning w:val="1"/>
  <w:characterSpacingControl w:val="compressPunctuation"/>
  <w:footnotePr>
    <w:numFmt w:val="decimalEnclosedCircleChinese"/>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46AD"/>
    <w:rsid w:val="0000042D"/>
    <w:rsid w:val="00000E59"/>
    <w:rsid w:val="00003519"/>
    <w:rsid w:val="000039CF"/>
    <w:rsid w:val="00013BD0"/>
    <w:rsid w:val="00016967"/>
    <w:rsid w:val="00016B2F"/>
    <w:rsid w:val="00023F27"/>
    <w:rsid w:val="0002618A"/>
    <w:rsid w:val="000262E9"/>
    <w:rsid w:val="000307EA"/>
    <w:rsid w:val="0003100F"/>
    <w:rsid w:val="00032604"/>
    <w:rsid w:val="000335BB"/>
    <w:rsid w:val="00035698"/>
    <w:rsid w:val="00036909"/>
    <w:rsid w:val="00040774"/>
    <w:rsid w:val="0004086C"/>
    <w:rsid w:val="0004293C"/>
    <w:rsid w:val="00042A62"/>
    <w:rsid w:val="0004507F"/>
    <w:rsid w:val="000471AC"/>
    <w:rsid w:val="00052A92"/>
    <w:rsid w:val="00052EDE"/>
    <w:rsid w:val="00054476"/>
    <w:rsid w:val="000576E4"/>
    <w:rsid w:val="00064B96"/>
    <w:rsid w:val="000668A7"/>
    <w:rsid w:val="000737BF"/>
    <w:rsid w:val="00076236"/>
    <w:rsid w:val="00076D59"/>
    <w:rsid w:val="000800D1"/>
    <w:rsid w:val="00081EBD"/>
    <w:rsid w:val="00082216"/>
    <w:rsid w:val="00084813"/>
    <w:rsid w:val="00086064"/>
    <w:rsid w:val="0008731F"/>
    <w:rsid w:val="00092FC9"/>
    <w:rsid w:val="00093DE3"/>
    <w:rsid w:val="000948ED"/>
    <w:rsid w:val="000A089F"/>
    <w:rsid w:val="000A3578"/>
    <w:rsid w:val="000A3A60"/>
    <w:rsid w:val="000A45FE"/>
    <w:rsid w:val="000A64A2"/>
    <w:rsid w:val="000A6AEB"/>
    <w:rsid w:val="000B0BEF"/>
    <w:rsid w:val="000B23A1"/>
    <w:rsid w:val="000B2474"/>
    <w:rsid w:val="000B27C0"/>
    <w:rsid w:val="000B344B"/>
    <w:rsid w:val="000B3F1E"/>
    <w:rsid w:val="000B5E82"/>
    <w:rsid w:val="000B79B1"/>
    <w:rsid w:val="000C2301"/>
    <w:rsid w:val="000C2BBC"/>
    <w:rsid w:val="000C4132"/>
    <w:rsid w:val="000C77F8"/>
    <w:rsid w:val="000D2722"/>
    <w:rsid w:val="000D3D53"/>
    <w:rsid w:val="000D6910"/>
    <w:rsid w:val="000D6B2F"/>
    <w:rsid w:val="000D6BF8"/>
    <w:rsid w:val="000D7EFC"/>
    <w:rsid w:val="000E0AB7"/>
    <w:rsid w:val="000E1BC2"/>
    <w:rsid w:val="000E1C95"/>
    <w:rsid w:val="000E1DAF"/>
    <w:rsid w:val="000E22FB"/>
    <w:rsid w:val="000F00BE"/>
    <w:rsid w:val="000F0D46"/>
    <w:rsid w:val="000F2389"/>
    <w:rsid w:val="000F2A15"/>
    <w:rsid w:val="000F46E7"/>
    <w:rsid w:val="000F6B09"/>
    <w:rsid w:val="001001EF"/>
    <w:rsid w:val="0010521F"/>
    <w:rsid w:val="0010725E"/>
    <w:rsid w:val="0010767F"/>
    <w:rsid w:val="0011034A"/>
    <w:rsid w:val="0011085D"/>
    <w:rsid w:val="00111D49"/>
    <w:rsid w:val="001151EB"/>
    <w:rsid w:val="00116009"/>
    <w:rsid w:val="0011767A"/>
    <w:rsid w:val="00122282"/>
    <w:rsid w:val="001270DA"/>
    <w:rsid w:val="00127773"/>
    <w:rsid w:val="001333DC"/>
    <w:rsid w:val="00134C72"/>
    <w:rsid w:val="00135AB2"/>
    <w:rsid w:val="00140151"/>
    <w:rsid w:val="001410D3"/>
    <w:rsid w:val="00141269"/>
    <w:rsid w:val="00142833"/>
    <w:rsid w:val="001438AE"/>
    <w:rsid w:val="00146FE8"/>
    <w:rsid w:val="00147DD7"/>
    <w:rsid w:val="00152203"/>
    <w:rsid w:val="00157763"/>
    <w:rsid w:val="00160F2A"/>
    <w:rsid w:val="001617FF"/>
    <w:rsid w:val="0016350B"/>
    <w:rsid w:val="00164D00"/>
    <w:rsid w:val="001651D7"/>
    <w:rsid w:val="001654DB"/>
    <w:rsid w:val="00165AEC"/>
    <w:rsid w:val="00167697"/>
    <w:rsid w:val="00170621"/>
    <w:rsid w:val="00171647"/>
    <w:rsid w:val="00171D74"/>
    <w:rsid w:val="001724CB"/>
    <w:rsid w:val="00175492"/>
    <w:rsid w:val="001815BD"/>
    <w:rsid w:val="001924BE"/>
    <w:rsid w:val="001A022B"/>
    <w:rsid w:val="001A34E5"/>
    <w:rsid w:val="001A4D32"/>
    <w:rsid w:val="001A6C71"/>
    <w:rsid w:val="001B13B9"/>
    <w:rsid w:val="001B3458"/>
    <w:rsid w:val="001B5E67"/>
    <w:rsid w:val="001C3CCE"/>
    <w:rsid w:val="001C4733"/>
    <w:rsid w:val="001C5537"/>
    <w:rsid w:val="001C639F"/>
    <w:rsid w:val="001C735E"/>
    <w:rsid w:val="001D12C9"/>
    <w:rsid w:val="001D3F31"/>
    <w:rsid w:val="001D5B80"/>
    <w:rsid w:val="001D6016"/>
    <w:rsid w:val="001D766F"/>
    <w:rsid w:val="001E205E"/>
    <w:rsid w:val="001E79A1"/>
    <w:rsid w:val="001F12C2"/>
    <w:rsid w:val="001F2003"/>
    <w:rsid w:val="001F62B6"/>
    <w:rsid w:val="001F672E"/>
    <w:rsid w:val="001F7449"/>
    <w:rsid w:val="002004D7"/>
    <w:rsid w:val="002009A5"/>
    <w:rsid w:val="002041A9"/>
    <w:rsid w:val="00205CD1"/>
    <w:rsid w:val="00213EC9"/>
    <w:rsid w:val="00214E62"/>
    <w:rsid w:val="00215575"/>
    <w:rsid w:val="00216C3F"/>
    <w:rsid w:val="00217B0C"/>
    <w:rsid w:val="002219C6"/>
    <w:rsid w:val="00222404"/>
    <w:rsid w:val="00223060"/>
    <w:rsid w:val="00226336"/>
    <w:rsid w:val="00227871"/>
    <w:rsid w:val="002319AF"/>
    <w:rsid w:val="002324A3"/>
    <w:rsid w:val="00233E71"/>
    <w:rsid w:val="00235BD1"/>
    <w:rsid w:val="00240250"/>
    <w:rsid w:val="002417AE"/>
    <w:rsid w:val="00241885"/>
    <w:rsid w:val="00245773"/>
    <w:rsid w:val="00246B21"/>
    <w:rsid w:val="00247020"/>
    <w:rsid w:val="00251745"/>
    <w:rsid w:val="00260160"/>
    <w:rsid w:val="00262403"/>
    <w:rsid w:val="002651E4"/>
    <w:rsid w:val="002719FD"/>
    <w:rsid w:val="00273CA3"/>
    <w:rsid w:val="00275A26"/>
    <w:rsid w:val="00282C22"/>
    <w:rsid w:val="00283D8B"/>
    <w:rsid w:val="00285E92"/>
    <w:rsid w:val="00290523"/>
    <w:rsid w:val="00292D65"/>
    <w:rsid w:val="002941C2"/>
    <w:rsid w:val="00294564"/>
    <w:rsid w:val="0029687D"/>
    <w:rsid w:val="00297111"/>
    <w:rsid w:val="002979C7"/>
    <w:rsid w:val="002A17B3"/>
    <w:rsid w:val="002A2EB8"/>
    <w:rsid w:val="002A6928"/>
    <w:rsid w:val="002B0794"/>
    <w:rsid w:val="002B595D"/>
    <w:rsid w:val="002C0FF3"/>
    <w:rsid w:val="002C2FB3"/>
    <w:rsid w:val="002D0C34"/>
    <w:rsid w:val="002D2D5E"/>
    <w:rsid w:val="002D2DD3"/>
    <w:rsid w:val="002D4B19"/>
    <w:rsid w:val="002D5169"/>
    <w:rsid w:val="002D5AD2"/>
    <w:rsid w:val="002D60EE"/>
    <w:rsid w:val="002E31B4"/>
    <w:rsid w:val="002E5650"/>
    <w:rsid w:val="002F0839"/>
    <w:rsid w:val="002F22BA"/>
    <w:rsid w:val="002F234B"/>
    <w:rsid w:val="00300519"/>
    <w:rsid w:val="00303369"/>
    <w:rsid w:val="00303EE3"/>
    <w:rsid w:val="00304D64"/>
    <w:rsid w:val="003074D6"/>
    <w:rsid w:val="00315E4E"/>
    <w:rsid w:val="00316064"/>
    <w:rsid w:val="00316E1B"/>
    <w:rsid w:val="003172B0"/>
    <w:rsid w:val="003176F5"/>
    <w:rsid w:val="0032184A"/>
    <w:rsid w:val="00321F72"/>
    <w:rsid w:val="00325312"/>
    <w:rsid w:val="003272A0"/>
    <w:rsid w:val="003278AE"/>
    <w:rsid w:val="00330E9A"/>
    <w:rsid w:val="00334088"/>
    <w:rsid w:val="00344520"/>
    <w:rsid w:val="0034736F"/>
    <w:rsid w:val="003556F6"/>
    <w:rsid w:val="003570C7"/>
    <w:rsid w:val="00362473"/>
    <w:rsid w:val="00365293"/>
    <w:rsid w:val="0036706E"/>
    <w:rsid w:val="0038006D"/>
    <w:rsid w:val="00382206"/>
    <w:rsid w:val="0039043E"/>
    <w:rsid w:val="003916CC"/>
    <w:rsid w:val="00391733"/>
    <w:rsid w:val="00391881"/>
    <w:rsid w:val="00392BC6"/>
    <w:rsid w:val="00396BC2"/>
    <w:rsid w:val="003A0CF7"/>
    <w:rsid w:val="003A4929"/>
    <w:rsid w:val="003B1E54"/>
    <w:rsid w:val="003B30AC"/>
    <w:rsid w:val="003B44E4"/>
    <w:rsid w:val="003B49DD"/>
    <w:rsid w:val="003B4E19"/>
    <w:rsid w:val="003B79F2"/>
    <w:rsid w:val="003C069C"/>
    <w:rsid w:val="003C071F"/>
    <w:rsid w:val="003C195D"/>
    <w:rsid w:val="003C3BDB"/>
    <w:rsid w:val="003C419A"/>
    <w:rsid w:val="003C4413"/>
    <w:rsid w:val="003D1082"/>
    <w:rsid w:val="003D60D8"/>
    <w:rsid w:val="003E0E88"/>
    <w:rsid w:val="003E127C"/>
    <w:rsid w:val="003E2735"/>
    <w:rsid w:val="003F51DE"/>
    <w:rsid w:val="003F6C95"/>
    <w:rsid w:val="004040D6"/>
    <w:rsid w:val="00404FC3"/>
    <w:rsid w:val="004055BE"/>
    <w:rsid w:val="004059DF"/>
    <w:rsid w:val="00406232"/>
    <w:rsid w:val="00410A27"/>
    <w:rsid w:val="00411699"/>
    <w:rsid w:val="004122C0"/>
    <w:rsid w:val="0041320E"/>
    <w:rsid w:val="004148BD"/>
    <w:rsid w:val="0041677A"/>
    <w:rsid w:val="00417AE4"/>
    <w:rsid w:val="004204AD"/>
    <w:rsid w:val="004206A2"/>
    <w:rsid w:val="00422D06"/>
    <w:rsid w:val="00423B0C"/>
    <w:rsid w:val="004306F0"/>
    <w:rsid w:val="004318C3"/>
    <w:rsid w:val="00435AED"/>
    <w:rsid w:val="0043754E"/>
    <w:rsid w:val="00440682"/>
    <w:rsid w:val="00440991"/>
    <w:rsid w:val="0044137B"/>
    <w:rsid w:val="00443573"/>
    <w:rsid w:val="00443770"/>
    <w:rsid w:val="004441A8"/>
    <w:rsid w:val="00447157"/>
    <w:rsid w:val="00447525"/>
    <w:rsid w:val="00447910"/>
    <w:rsid w:val="00447A7B"/>
    <w:rsid w:val="00450832"/>
    <w:rsid w:val="004529A0"/>
    <w:rsid w:val="00452BC1"/>
    <w:rsid w:val="00453D08"/>
    <w:rsid w:val="00454BE6"/>
    <w:rsid w:val="00456B3A"/>
    <w:rsid w:val="004626AC"/>
    <w:rsid w:val="00463C4B"/>
    <w:rsid w:val="00470C0C"/>
    <w:rsid w:val="00471248"/>
    <w:rsid w:val="0047207E"/>
    <w:rsid w:val="004748AC"/>
    <w:rsid w:val="00476E01"/>
    <w:rsid w:val="00480EAB"/>
    <w:rsid w:val="00483BBF"/>
    <w:rsid w:val="0048599C"/>
    <w:rsid w:val="00486DA0"/>
    <w:rsid w:val="004877F5"/>
    <w:rsid w:val="00487EAD"/>
    <w:rsid w:val="004902C9"/>
    <w:rsid w:val="0049051E"/>
    <w:rsid w:val="004915E6"/>
    <w:rsid w:val="004A4A22"/>
    <w:rsid w:val="004A62DD"/>
    <w:rsid w:val="004A6E18"/>
    <w:rsid w:val="004A765B"/>
    <w:rsid w:val="004B2562"/>
    <w:rsid w:val="004B2772"/>
    <w:rsid w:val="004B54AA"/>
    <w:rsid w:val="004B5652"/>
    <w:rsid w:val="004C166E"/>
    <w:rsid w:val="004C1F86"/>
    <w:rsid w:val="004C2062"/>
    <w:rsid w:val="004D4DB6"/>
    <w:rsid w:val="004D5145"/>
    <w:rsid w:val="004D52CD"/>
    <w:rsid w:val="004D6955"/>
    <w:rsid w:val="004D6F7A"/>
    <w:rsid w:val="004E40DB"/>
    <w:rsid w:val="004E74B8"/>
    <w:rsid w:val="004F09E7"/>
    <w:rsid w:val="004F5268"/>
    <w:rsid w:val="00500437"/>
    <w:rsid w:val="0050154E"/>
    <w:rsid w:val="0050678F"/>
    <w:rsid w:val="0051116A"/>
    <w:rsid w:val="005119E2"/>
    <w:rsid w:val="0051281B"/>
    <w:rsid w:val="00512D4C"/>
    <w:rsid w:val="00516397"/>
    <w:rsid w:val="00516435"/>
    <w:rsid w:val="005167DC"/>
    <w:rsid w:val="0052624C"/>
    <w:rsid w:val="0053241E"/>
    <w:rsid w:val="00534587"/>
    <w:rsid w:val="0053536C"/>
    <w:rsid w:val="00541A84"/>
    <w:rsid w:val="00542C4C"/>
    <w:rsid w:val="005436F1"/>
    <w:rsid w:val="00543F5D"/>
    <w:rsid w:val="005443B5"/>
    <w:rsid w:val="005449AE"/>
    <w:rsid w:val="00544CDA"/>
    <w:rsid w:val="005451B4"/>
    <w:rsid w:val="0054542D"/>
    <w:rsid w:val="00550A86"/>
    <w:rsid w:val="005514F7"/>
    <w:rsid w:val="00551BDA"/>
    <w:rsid w:val="00560A6A"/>
    <w:rsid w:val="00560B30"/>
    <w:rsid w:val="00560F24"/>
    <w:rsid w:val="00562B81"/>
    <w:rsid w:val="00566D6C"/>
    <w:rsid w:val="00570746"/>
    <w:rsid w:val="0057075C"/>
    <w:rsid w:val="00571317"/>
    <w:rsid w:val="00572020"/>
    <w:rsid w:val="00572646"/>
    <w:rsid w:val="00573A62"/>
    <w:rsid w:val="00577605"/>
    <w:rsid w:val="005779F3"/>
    <w:rsid w:val="005823A8"/>
    <w:rsid w:val="00582F88"/>
    <w:rsid w:val="005833E4"/>
    <w:rsid w:val="00593309"/>
    <w:rsid w:val="00593403"/>
    <w:rsid w:val="005949D2"/>
    <w:rsid w:val="005A04BE"/>
    <w:rsid w:val="005A059F"/>
    <w:rsid w:val="005A1D11"/>
    <w:rsid w:val="005A3ECA"/>
    <w:rsid w:val="005A64EB"/>
    <w:rsid w:val="005A6E7C"/>
    <w:rsid w:val="005B3612"/>
    <w:rsid w:val="005B4A5C"/>
    <w:rsid w:val="005B7E34"/>
    <w:rsid w:val="005C1355"/>
    <w:rsid w:val="005C154D"/>
    <w:rsid w:val="005C7752"/>
    <w:rsid w:val="005C7D47"/>
    <w:rsid w:val="005D7B00"/>
    <w:rsid w:val="005E076A"/>
    <w:rsid w:val="005E2A69"/>
    <w:rsid w:val="005E67B2"/>
    <w:rsid w:val="005F1CBF"/>
    <w:rsid w:val="005F7195"/>
    <w:rsid w:val="00604AA6"/>
    <w:rsid w:val="00604BB7"/>
    <w:rsid w:val="00605F8A"/>
    <w:rsid w:val="006075C9"/>
    <w:rsid w:val="00615535"/>
    <w:rsid w:val="00615B08"/>
    <w:rsid w:val="006165AC"/>
    <w:rsid w:val="006171C2"/>
    <w:rsid w:val="00617F80"/>
    <w:rsid w:val="006212C3"/>
    <w:rsid w:val="00623DAE"/>
    <w:rsid w:val="00633187"/>
    <w:rsid w:val="0063458F"/>
    <w:rsid w:val="00637F68"/>
    <w:rsid w:val="00641AC1"/>
    <w:rsid w:val="0064357B"/>
    <w:rsid w:val="00643B71"/>
    <w:rsid w:val="00644190"/>
    <w:rsid w:val="0064499E"/>
    <w:rsid w:val="006511E8"/>
    <w:rsid w:val="0065176D"/>
    <w:rsid w:val="00653E52"/>
    <w:rsid w:val="00660AE1"/>
    <w:rsid w:val="00661654"/>
    <w:rsid w:val="00662698"/>
    <w:rsid w:val="00664EC8"/>
    <w:rsid w:val="006655EF"/>
    <w:rsid w:val="00676CEE"/>
    <w:rsid w:val="0067745C"/>
    <w:rsid w:val="00684E1E"/>
    <w:rsid w:val="006871C0"/>
    <w:rsid w:val="00690C9E"/>
    <w:rsid w:val="00694C29"/>
    <w:rsid w:val="006A44E4"/>
    <w:rsid w:val="006A6AC8"/>
    <w:rsid w:val="006A799C"/>
    <w:rsid w:val="006A7ABF"/>
    <w:rsid w:val="006B2CF3"/>
    <w:rsid w:val="006B48B8"/>
    <w:rsid w:val="006B4D0C"/>
    <w:rsid w:val="006B5EEC"/>
    <w:rsid w:val="006C11F8"/>
    <w:rsid w:val="006C3480"/>
    <w:rsid w:val="006C638D"/>
    <w:rsid w:val="006D046F"/>
    <w:rsid w:val="006D0EE3"/>
    <w:rsid w:val="006D26E7"/>
    <w:rsid w:val="006D39A6"/>
    <w:rsid w:val="006D3B54"/>
    <w:rsid w:val="006D4698"/>
    <w:rsid w:val="006D7DA1"/>
    <w:rsid w:val="006E0D9A"/>
    <w:rsid w:val="006E1E24"/>
    <w:rsid w:val="006E4340"/>
    <w:rsid w:val="006E6CDF"/>
    <w:rsid w:val="006F5135"/>
    <w:rsid w:val="006F5C32"/>
    <w:rsid w:val="00700E6A"/>
    <w:rsid w:val="007049E5"/>
    <w:rsid w:val="00706310"/>
    <w:rsid w:val="007071BC"/>
    <w:rsid w:val="00707BEA"/>
    <w:rsid w:val="0071147E"/>
    <w:rsid w:val="0072106B"/>
    <w:rsid w:val="00721D20"/>
    <w:rsid w:val="00722C92"/>
    <w:rsid w:val="007235A4"/>
    <w:rsid w:val="0072418C"/>
    <w:rsid w:val="007249DF"/>
    <w:rsid w:val="00725B95"/>
    <w:rsid w:val="0072601E"/>
    <w:rsid w:val="00726F62"/>
    <w:rsid w:val="0073104E"/>
    <w:rsid w:val="007312B5"/>
    <w:rsid w:val="007316E7"/>
    <w:rsid w:val="00733BC3"/>
    <w:rsid w:val="00735A67"/>
    <w:rsid w:val="00736147"/>
    <w:rsid w:val="007403B4"/>
    <w:rsid w:val="00741BA2"/>
    <w:rsid w:val="00744AC8"/>
    <w:rsid w:val="00744C44"/>
    <w:rsid w:val="00747043"/>
    <w:rsid w:val="00747721"/>
    <w:rsid w:val="00747A53"/>
    <w:rsid w:val="00747D50"/>
    <w:rsid w:val="0075147E"/>
    <w:rsid w:val="00752FA5"/>
    <w:rsid w:val="007530E7"/>
    <w:rsid w:val="00753D55"/>
    <w:rsid w:val="00756D70"/>
    <w:rsid w:val="007604A4"/>
    <w:rsid w:val="00761465"/>
    <w:rsid w:val="00762A72"/>
    <w:rsid w:val="007646D5"/>
    <w:rsid w:val="00764C77"/>
    <w:rsid w:val="0076629B"/>
    <w:rsid w:val="00770C32"/>
    <w:rsid w:val="00771C85"/>
    <w:rsid w:val="007731A2"/>
    <w:rsid w:val="00773897"/>
    <w:rsid w:val="00773DCC"/>
    <w:rsid w:val="00776793"/>
    <w:rsid w:val="0078176D"/>
    <w:rsid w:val="00784A2A"/>
    <w:rsid w:val="007862D2"/>
    <w:rsid w:val="00792BF5"/>
    <w:rsid w:val="007936B9"/>
    <w:rsid w:val="00794F1E"/>
    <w:rsid w:val="00795A10"/>
    <w:rsid w:val="007A172B"/>
    <w:rsid w:val="007A4E4D"/>
    <w:rsid w:val="007A50D1"/>
    <w:rsid w:val="007A77FF"/>
    <w:rsid w:val="007B0C1D"/>
    <w:rsid w:val="007B5326"/>
    <w:rsid w:val="007C2127"/>
    <w:rsid w:val="007C2445"/>
    <w:rsid w:val="007C3578"/>
    <w:rsid w:val="007C3CBA"/>
    <w:rsid w:val="007C4F00"/>
    <w:rsid w:val="007C7266"/>
    <w:rsid w:val="007C7705"/>
    <w:rsid w:val="007C7DD3"/>
    <w:rsid w:val="007D32A0"/>
    <w:rsid w:val="007D3D67"/>
    <w:rsid w:val="007D4363"/>
    <w:rsid w:val="007D7016"/>
    <w:rsid w:val="007E1F6C"/>
    <w:rsid w:val="007E4597"/>
    <w:rsid w:val="007E4B05"/>
    <w:rsid w:val="007E6C14"/>
    <w:rsid w:val="007E7EA4"/>
    <w:rsid w:val="007F1530"/>
    <w:rsid w:val="007F1A9C"/>
    <w:rsid w:val="007F4226"/>
    <w:rsid w:val="007F6956"/>
    <w:rsid w:val="00802158"/>
    <w:rsid w:val="00811BA1"/>
    <w:rsid w:val="00812894"/>
    <w:rsid w:val="0081684A"/>
    <w:rsid w:val="00817759"/>
    <w:rsid w:val="00820A79"/>
    <w:rsid w:val="00820EC8"/>
    <w:rsid w:val="00822A73"/>
    <w:rsid w:val="008250AB"/>
    <w:rsid w:val="00832661"/>
    <w:rsid w:val="00833D54"/>
    <w:rsid w:val="00834374"/>
    <w:rsid w:val="008349CC"/>
    <w:rsid w:val="00834CB3"/>
    <w:rsid w:val="00836F1E"/>
    <w:rsid w:val="00840FDA"/>
    <w:rsid w:val="00846909"/>
    <w:rsid w:val="00847440"/>
    <w:rsid w:val="00847919"/>
    <w:rsid w:val="00847AB2"/>
    <w:rsid w:val="008509E3"/>
    <w:rsid w:val="00854E5D"/>
    <w:rsid w:val="0085626D"/>
    <w:rsid w:val="00861823"/>
    <w:rsid w:val="0086410E"/>
    <w:rsid w:val="0086452B"/>
    <w:rsid w:val="00864767"/>
    <w:rsid w:val="00864DDF"/>
    <w:rsid w:val="008669D1"/>
    <w:rsid w:val="00866DA0"/>
    <w:rsid w:val="0087009E"/>
    <w:rsid w:val="00870908"/>
    <w:rsid w:val="00872C7B"/>
    <w:rsid w:val="0087321B"/>
    <w:rsid w:val="008757B6"/>
    <w:rsid w:val="00877B72"/>
    <w:rsid w:val="00882099"/>
    <w:rsid w:val="00883499"/>
    <w:rsid w:val="00884C02"/>
    <w:rsid w:val="00884D36"/>
    <w:rsid w:val="00884F99"/>
    <w:rsid w:val="008854E0"/>
    <w:rsid w:val="008856D6"/>
    <w:rsid w:val="00887B3C"/>
    <w:rsid w:val="00894825"/>
    <w:rsid w:val="00895775"/>
    <w:rsid w:val="00895E7E"/>
    <w:rsid w:val="00897639"/>
    <w:rsid w:val="008A06F4"/>
    <w:rsid w:val="008A2597"/>
    <w:rsid w:val="008A4BCB"/>
    <w:rsid w:val="008A58A3"/>
    <w:rsid w:val="008A7534"/>
    <w:rsid w:val="008B031C"/>
    <w:rsid w:val="008B14D6"/>
    <w:rsid w:val="008B2990"/>
    <w:rsid w:val="008B6F70"/>
    <w:rsid w:val="008B7759"/>
    <w:rsid w:val="008C5E10"/>
    <w:rsid w:val="008C7114"/>
    <w:rsid w:val="008C75F8"/>
    <w:rsid w:val="008D3083"/>
    <w:rsid w:val="008D315D"/>
    <w:rsid w:val="008D6CE6"/>
    <w:rsid w:val="008E0801"/>
    <w:rsid w:val="008E2E2A"/>
    <w:rsid w:val="008E59DA"/>
    <w:rsid w:val="008E7D61"/>
    <w:rsid w:val="008F1371"/>
    <w:rsid w:val="008F23A6"/>
    <w:rsid w:val="008F2720"/>
    <w:rsid w:val="008F4956"/>
    <w:rsid w:val="009062FC"/>
    <w:rsid w:val="00915091"/>
    <w:rsid w:val="00915146"/>
    <w:rsid w:val="009154B1"/>
    <w:rsid w:val="009230BD"/>
    <w:rsid w:val="009234F3"/>
    <w:rsid w:val="00926649"/>
    <w:rsid w:val="00930B0C"/>
    <w:rsid w:val="00933A88"/>
    <w:rsid w:val="00936582"/>
    <w:rsid w:val="009371B4"/>
    <w:rsid w:val="00941B36"/>
    <w:rsid w:val="009425EB"/>
    <w:rsid w:val="00944E25"/>
    <w:rsid w:val="009452D1"/>
    <w:rsid w:val="00946671"/>
    <w:rsid w:val="0094673C"/>
    <w:rsid w:val="009473B9"/>
    <w:rsid w:val="00947AED"/>
    <w:rsid w:val="009547A4"/>
    <w:rsid w:val="00957880"/>
    <w:rsid w:val="009607DE"/>
    <w:rsid w:val="00962796"/>
    <w:rsid w:val="00963538"/>
    <w:rsid w:val="00964405"/>
    <w:rsid w:val="00965BCE"/>
    <w:rsid w:val="00965D11"/>
    <w:rsid w:val="00965D60"/>
    <w:rsid w:val="0096604D"/>
    <w:rsid w:val="0096656A"/>
    <w:rsid w:val="00967380"/>
    <w:rsid w:val="0097039D"/>
    <w:rsid w:val="00971D87"/>
    <w:rsid w:val="009753DC"/>
    <w:rsid w:val="00980AA7"/>
    <w:rsid w:val="0099117E"/>
    <w:rsid w:val="00991F85"/>
    <w:rsid w:val="009929F5"/>
    <w:rsid w:val="00995812"/>
    <w:rsid w:val="009A4245"/>
    <w:rsid w:val="009A74C8"/>
    <w:rsid w:val="009B0A21"/>
    <w:rsid w:val="009B1C7D"/>
    <w:rsid w:val="009B604F"/>
    <w:rsid w:val="009B77D4"/>
    <w:rsid w:val="009C01B5"/>
    <w:rsid w:val="009D4343"/>
    <w:rsid w:val="009D4DE1"/>
    <w:rsid w:val="009D64C2"/>
    <w:rsid w:val="009D7F1B"/>
    <w:rsid w:val="009E48FE"/>
    <w:rsid w:val="009F1C1A"/>
    <w:rsid w:val="009F4CE4"/>
    <w:rsid w:val="00A03900"/>
    <w:rsid w:val="00A12B29"/>
    <w:rsid w:val="00A14110"/>
    <w:rsid w:val="00A236A7"/>
    <w:rsid w:val="00A276F2"/>
    <w:rsid w:val="00A30324"/>
    <w:rsid w:val="00A308DC"/>
    <w:rsid w:val="00A30A13"/>
    <w:rsid w:val="00A34421"/>
    <w:rsid w:val="00A37C3E"/>
    <w:rsid w:val="00A40BE9"/>
    <w:rsid w:val="00A42160"/>
    <w:rsid w:val="00A43FC2"/>
    <w:rsid w:val="00A444B1"/>
    <w:rsid w:val="00A45487"/>
    <w:rsid w:val="00A45A6B"/>
    <w:rsid w:val="00A469EA"/>
    <w:rsid w:val="00A472DF"/>
    <w:rsid w:val="00A47969"/>
    <w:rsid w:val="00A50756"/>
    <w:rsid w:val="00A53624"/>
    <w:rsid w:val="00A54EA4"/>
    <w:rsid w:val="00A552CA"/>
    <w:rsid w:val="00A61067"/>
    <w:rsid w:val="00A64267"/>
    <w:rsid w:val="00A64714"/>
    <w:rsid w:val="00A65C4D"/>
    <w:rsid w:val="00A65D3F"/>
    <w:rsid w:val="00A70699"/>
    <w:rsid w:val="00A7271E"/>
    <w:rsid w:val="00A73F61"/>
    <w:rsid w:val="00A75B1B"/>
    <w:rsid w:val="00A75C11"/>
    <w:rsid w:val="00A764B7"/>
    <w:rsid w:val="00A77BF1"/>
    <w:rsid w:val="00A80AE4"/>
    <w:rsid w:val="00A813EE"/>
    <w:rsid w:val="00A8472C"/>
    <w:rsid w:val="00A8557A"/>
    <w:rsid w:val="00A8604D"/>
    <w:rsid w:val="00A863AC"/>
    <w:rsid w:val="00A900A5"/>
    <w:rsid w:val="00A91120"/>
    <w:rsid w:val="00A91123"/>
    <w:rsid w:val="00A91DD9"/>
    <w:rsid w:val="00A92B49"/>
    <w:rsid w:val="00A932DE"/>
    <w:rsid w:val="00A93964"/>
    <w:rsid w:val="00A94D85"/>
    <w:rsid w:val="00A96354"/>
    <w:rsid w:val="00A96401"/>
    <w:rsid w:val="00AA00E3"/>
    <w:rsid w:val="00AA1A3E"/>
    <w:rsid w:val="00AA296F"/>
    <w:rsid w:val="00AA7803"/>
    <w:rsid w:val="00AB0063"/>
    <w:rsid w:val="00AB02AB"/>
    <w:rsid w:val="00AB3A85"/>
    <w:rsid w:val="00AB59D9"/>
    <w:rsid w:val="00AB73DA"/>
    <w:rsid w:val="00AB7517"/>
    <w:rsid w:val="00AC0BCD"/>
    <w:rsid w:val="00AC11B1"/>
    <w:rsid w:val="00AC1990"/>
    <w:rsid w:val="00AC642D"/>
    <w:rsid w:val="00AD5F2F"/>
    <w:rsid w:val="00AD76F0"/>
    <w:rsid w:val="00AE14AE"/>
    <w:rsid w:val="00AE27A2"/>
    <w:rsid w:val="00AE5A51"/>
    <w:rsid w:val="00AE6BB8"/>
    <w:rsid w:val="00AF077C"/>
    <w:rsid w:val="00AF10D0"/>
    <w:rsid w:val="00AF2FAD"/>
    <w:rsid w:val="00AF4142"/>
    <w:rsid w:val="00AF435D"/>
    <w:rsid w:val="00AF4D5A"/>
    <w:rsid w:val="00AF6569"/>
    <w:rsid w:val="00AF6A48"/>
    <w:rsid w:val="00B01697"/>
    <w:rsid w:val="00B023B7"/>
    <w:rsid w:val="00B063E4"/>
    <w:rsid w:val="00B107E2"/>
    <w:rsid w:val="00B109FC"/>
    <w:rsid w:val="00B12719"/>
    <w:rsid w:val="00B15A1C"/>
    <w:rsid w:val="00B15F39"/>
    <w:rsid w:val="00B17A6A"/>
    <w:rsid w:val="00B21B8B"/>
    <w:rsid w:val="00B23759"/>
    <w:rsid w:val="00B259EA"/>
    <w:rsid w:val="00B268C2"/>
    <w:rsid w:val="00B276D2"/>
    <w:rsid w:val="00B34EA0"/>
    <w:rsid w:val="00B37B54"/>
    <w:rsid w:val="00B42551"/>
    <w:rsid w:val="00B42CA0"/>
    <w:rsid w:val="00B4575E"/>
    <w:rsid w:val="00B463C1"/>
    <w:rsid w:val="00B46B53"/>
    <w:rsid w:val="00B517EA"/>
    <w:rsid w:val="00B51B66"/>
    <w:rsid w:val="00B559E1"/>
    <w:rsid w:val="00B565A1"/>
    <w:rsid w:val="00B62511"/>
    <w:rsid w:val="00B6628E"/>
    <w:rsid w:val="00B7084C"/>
    <w:rsid w:val="00B724D3"/>
    <w:rsid w:val="00B72DF6"/>
    <w:rsid w:val="00B75E6C"/>
    <w:rsid w:val="00B80A61"/>
    <w:rsid w:val="00B84441"/>
    <w:rsid w:val="00B85D88"/>
    <w:rsid w:val="00B87D35"/>
    <w:rsid w:val="00B9542F"/>
    <w:rsid w:val="00BA3169"/>
    <w:rsid w:val="00BA317B"/>
    <w:rsid w:val="00BA44CA"/>
    <w:rsid w:val="00BA4693"/>
    <w:rsid w:val="00BA525F"/>
    <w:rsid w:val="00BA7BFF"/>
    <w:rsid w:val="00BB02F0"/>
    <w:rsid w:val="00BB3F6A"/>
    <w:rsid w:val="00BB5D26"/>
    <w:rsid w:val="00BB6497"/>
    <w:rsid w:val="00BB68C4"/>
    <w:rsid w:val="00BB6E00"/>
    <w:rsid w:val="00BB77E3"/>
    <w:rsid w:val="00BB7B1D"/>
    <w:rsid w:val="00BB7C8E"/>
    <w:rsid w:val="00BC1AAB"/>
    <w:rsid w:val="00BC3943"/>
    <w:rsid w:val="00BC4C8D"/>
    <w:rsid w:val="00BC5637"/>
    <w:rsid w:val="00BC5E1E"/>
    <w:rsid w:val="00BD2856"/>
    <w:rsid w:val="00BD3752"/>
    <w:rsid w:val="00BD76CD"/>
    <w:rsid w:val="00BD7B54"/>
    <w:rsid w:val="00BE0509"/>
    <w:rsid w:val="00BE0E1C"/>
    <w:rsid w:val="00BE34E2"/>
    <w:rsid w:val="00BE43D4"/>
    <w:rsid w:val="00BE454E"/>
    <w:rsid w:val="00BE576A"/>
    <w:rsid w:val="00BE7023"/>
    <w:rsid w:val="00BE75CB"/>
    <w:rsid w:val="00BF0783"/>
    <w:rsid w:val="00BF22FF"/>
    <w:rsid w:val="00BF231E"/>
    <w:rsid w:val="00BF2812"/>
    <w:rsid w:val="00BF4E00"/>
    <w:rsid w:val="00BF723D"/>
    <w:rsid w:val="00C07261"/>
    <w:rsid w:val="00C10EFC"/>
    <w:rsid w:val="00C11E12"/>
    <w:rsid w:val="00C122F7"/>
    <w:rsid w:val="00C14182"/>
    <w:rsid w:val="00C146E2"/>
    <w:rsid w:val="00C15B75"/>
    <w:rsid w:val="00C16C9D"/>
    <w:rsid w:val="00C20271"/>
    <w:rsid w:val="00C21AAD"/>
    <w:rsid w:val="00C23D79"/>
    <w:rsid w:val="00C30D60"/>
    <w:rsid w:val="00C34CEE"/>
    <w:rsid w:val="00C36DE0"/>
    <w:rsid w:val="00C42E2C"/>
    <w:rsid w:val="00C44A2E"/>
    <w:rsid w:val="00C46295"/>
    <w:rsid w:val="00C513AE"/>
    <w:rsid w:val="00C54EF1"/>
    <w:rsid w:val="00C565BC"/>
    <w:rsid w:val="00C603C0"/>
    <w:rsid w:val="00C60915"/>
    <w:rsid w:val="00C60F8A"/>
    <w:rsid w:val="00C622F8"/>
    <w:rsid w:val="00C66D04"/>
    <w:rsid w:val="00C7295B"/>
    <w:rsid w:val="00C74EE7"/>
    <w:rsid w:val="00C75267"/>
    <w:rsid w:val="00C77FCD"/>
    <w:rsid w:val="00C80D9A"/>
    <w:rsid w:val="00C82FD1"/>
    <w:rsid w:val="00C8683B"/>
    <w:rsid w:val="00C87CAB"/>
    <w:rsid w:val="00C90BFB"/>
    <w:rsid w:val="00C9157D"/>
    <w:rsid w:val="00C96DED"/>
    <w:rsid w:val="00C971BD"/>
    <w:rsid w:val="00C97456"/>
    <w:rsid w:val="00CA3815"/>
    <w:rsid w:val="00CA68AC"/>
    <w:rsid w:val="00CA6D68"/>
    <w:rsid w:val="00CB062F"/>
    <w:rsid w:val="00CB1838"/>
    <w:rsid w:val="00CB2C93"/>
    <w:rsid w:val="00CB5972"/>
    <w:rsid w:val="00CB63B2"/>
    <w:rsid w:val="00CC1243"/>
    <w:rsid w:val="00CC3806"/>
    <w:rsid w:val="00CC3D96"/>
    <w:rsid w:val="00CC3F05"/>
    <w:rsid w:val="00CC5268"/>
    <w:rsid w:val="00CC6F0C"/>
    <w:rsid w:val="00CD0A16"/>
    <w:rsid w:val="00CD28F4"/>
    <w:rsid w:val="00CD49F9"/>
    <w:rsid w:val="00CD63ED"/>
    <w:rsid w:val="00CD789B"/>
    <w:rsid w:val="00CE1451"/>
    <w:rsid w:val="00CE531D"/>
    <w:rsid w:val="00CE5CF8"/>
    <w:rsid w:val="00CE616D"/>
    <w:rsid w:val="00CF58BB"/>
    <w:rsid w:val="00CF5FBC"/>
    <w:rsid w:val="00D00B47"/>
    <w:rsid w:val="00D00F84"/>
    <w:rsid w:val="00D022CC"/>
    <w:rsid w:val="00D02763"/>
    <w:rsid w:val="00D038A7"/>
    <w:rsid w:val="00D03E6D"/>
    <w:rsid w:val="00D05D85"/>
    <w:rsid w:val="00D07446"/>
    <w:rsid w:val="00D10D47"/>
    <w:rsid w:val="00D112B2"/>
    <w:rsid w:val="00D17505"/>
    <w:rsid w:val="00D213C9"/>
    <w:rsid w:val="00D22981"/>
    <w:rsid w:val="00D24A9B"/>
    <w:rsid w:val="00D2551A"/>
    <w:rsid w:val="00D25D02"/>
    <w:rsid w:val="00D2695F"/>
    <w:rsid w:val="00D31D96"/>
    <w:rsid w:val="00D32290"/>
    <w:rsid w:val="00D32927"/>
    <w:rsid w:val="00D3355D"/>
    <w:rsid w:val="00D40F79"/>
    <w:rsid w:val="00D418B4"/>
    <w:rsid w:val="00D51FEA"/>
    <w:rsid w:val="00D561EB"/>
    <w:rsid w:val="00D602BE"/>
    <w:rsid w:val="00D60FC9"/>
    <w:rsid w:val="00D6234B"/>
    <w:rsid w:val="00D63734"/>
    <w:rsid w:val="00D65F99"/>
    <w:rsid w:val="00D70D82"/>
    <w:rsid w:val="00D724EE"/>
    <w:rsid w:val="00D727C5"/>
    <w:rsid w:val="00D7309D"/>
    <w:rsid w:val="00D7593D"/>
    <w:rsid w:val="00D76AC1"/>
    <w:rsid w:val="00D7708E"/>
    <w:rsid w:val="00D807F6"/>
    <w:rsid w:val="00D8133F"/>
    <w:rsid w:val="00D84133"/>
    <w:rsid w:val="00D85738"/>
    <w:rsid w:val="00D90523"/>
    <w:rsid w:val="00D939E9"/>
    <w:rsid w:val="00D96276"/>
    <w:rsid w:val="00D966AD"/>
    <w:rsid w:val="00D96F9C"/>
    <w:rsid w:val="00D97F61"/>
    <w:rsid w:val="00DA1E12"/>
    <w:rsid w:val="00DA43C7"/>
    <w:rsid w:val="00DA5869"/>
    <w:rsid w:val="00DA59C4"/>
    <w:rsid w:val="00DA6AB9"/>
    <w:rsid w:val="00DA6E36"/>
    <w:rsid w:val="00DB02EF"/>
    <w:rsid w:val="00DB0494"/>
    <w:rsid w:val="00DB6328"/>
    <w:rsid w:val="00DB73B5"/>
    <w:rsid w:val="00DC0B77"/>
    <w:rsid w:val="00DC4D85"/>
    <w:rsid w:val="00DC62BA"/>
    <w:rsid w:val="00DC690E"/>
    <w:rsid w:val="00DD09EA"/>
    <w:rsid w:val="00DD16F4"/>
    <w:rsid w:val="00DD4B5A"/>
    <w:rsid w:val="00DD635C"/>
    <w:rsid w:val="00DE1E15"/>
    <w:rsid w:val="00DE308F"/>
    <w:rsid w:val="00DE4B9A"/>
    <w:rsid w:val="00DE6379"/>
    <w:rsid w:val="00DF2D2E"/>
    <w:rsid w:val="00DF521E"/>
    <w:rsid w:val="00DF5A5B"/>
    <w:rsid w:val="00DF67E0"/>
    <w:rsid w:val="00E0239E"/>
    <w:rsid w:val="00E034F0"/>
    <w:rsid w:val="00E03AC6"/>
    <w:rsid w:val="00E03FAA"/>
    <w:rsid w:val="00E04F03"/>
    <w:rsid w:val="00E058F2"/>
    <w:rsid w:val="00E059C4"/>
    <w:rsid w:val="00E07F64"/>
    <w:rsid w:val="00E119A5"/>
    <w:rsid w:val="00E16052"/>
    <w:rsid w:val="00E16DEA"/>
    <w:rsid w:val="00E2234C"/>
    <w:rsid w:val="00E2679E"/>
    <w:rsid w:val="00E26F63"/>
    <w:rsid w:val="00E277B3"/>
    <w:rsid w:val="00E27F39"/>
    <w:rsid w:val="00E313D6"/>
    <w:rsid w:val="00E31E0D"/>
    <w:rsid w:val="00E32639"/>
    <w:rsid w:val="00E328DF"/>
    <w:rsid w:val="00E32CDD"/>
    <w:rsid w:val="00E33A8D"/>
    <w:rsid w:val="00E35757"/>
    <w:rsid w:val="00E37087"/>
    <w:rsid w:val="00E3745B"/>
    <w:rsid w:val="00E376AF"/>
    <w:rsid w:val="00E42B99"/>
    <w:rsid w:val="00E45D4C"/>
    <w:rsid w:val="00E46BD9"/>
    <w:rsid w:val="00E5160D"/>
    <w:rsid w:val="00E547A5"/>
    <w:rsid w:val="00E548ED"/>
    <w:rsid w:val="00E6012A"/>
    <w:rsid w:val="00E60566"/>
    <w:rsid w:val="00E61C4A"/>
    <w:rsid w:val="00E63364"/>
    <w:rsid w:val="00E64F1C"/>
    <w:rsid w:val="00E67EC5"/>
    <w:rsid w:val="00E71781"/>
    <w:rsid w:val="00E80744"/>
    <w:rsid w:val="00E80E42"/>
    <w:rsid w:val="00E8229C"/>
    <w:rsid w:val="00E844BA"/>
    <w:rsid w:val="00E86F46"/>
    <w:rsid w:val="00E92735"/>
    <w:rsid w:val="00E92B77"/>
    <w:rsid w:val="00E93EA6"/>
    <w:rsid w:val="00EA4A9C"/>
    <w:rsid w:val="00EA4C4A"/>
    <w:rsid w:val="00EA4D95"/>
    <w:rsid w:val="00EB302D"/>
    <w:rsid w:val="00EB7770"/>
    <w:rsid w:val="00EC0D90"/>
    <w:rsid w:val="00EC21C6"/>
    <w:rsid w:val="00EC26C8"/>
    <w:rsid w:val="00EC2711"/>
    <w:rsid w:val="00EC5B44"/>
    <w:rsid w:val="00EC7135"/>
    <w:rsid w:val="00EC7A7D"/>
    <w:rsid w:val="00ED0C27"/>
    <w:rsid w:val="00ED0DFE"/>
    <w:rsid w:val="00EE2182"/>
    <w:rsid w:val="00EE4CAE"/>
    <w:rsid w:val="00EE7FFC"/>
    <w:rsid w:val="00EF0084"/>
    <w:rsid w:val="00EF0493"/>
    <w:rsid w:val="00EF15B9"/>
    <w:rsid w:val="00EF1A6A"/>
    <w:rsid w:val="00EF473B"/>
    <w:rsid w:val="00EF477E"/>
    <w:rsid w:val="00EF71CD"/>
    <w:rsid w:val="00EF75CB"/>
    <w:rsid w:val="00EF765F"/>
    <w:rsid w:val="00F00150"/>
    <w:rsid w:val="00F00846"/>
    <w:rsid w:val="00F0527A"/>
    <w:rsid w:val="00F05615"/>
    <w:rsid w:val="00F06064"/>
    <w:rsid w:val="00F072AF"/>
    <w:rsid w:val="00F074F4"/>
    <w:rsid w:val="00F10231"/>
    <w:rsid w:val="00F11414"/>
    <w:rsid w:val="00F11F8F"/>
    <w:rsid w:val="00F17CA9"/>
    <w:rsid w:val="00F20A83"/>
    <w:rsid w:val="00F23DBF"/>
    <w:rsid w:val="00F27623"/>
    <w:rsid w:val="00F304C2"/>
    <w:rsid w:val="00F31957"/>
    <w:rsid w:val="00F346AD"/>
    <w:rsid w:val="00F35D71"/>
    <w:rsid w:val="00F37337"/>
    <w:rsid w:val="00F40D2B"/>
    <w:rsid w:val="00F447EC"/>
    <w:rsid w:val="00F4537E"/>
    <w:rsid w:val="00F47855"/>
    <w:rsid w:val="00F502EA"/>
    <w:rsid w:val="00F55D31"/>
    <w:rsid w:val="00F5620E"/>
    <w:rsid w:val="00F5787E"/>
    <w:rsid w:val="00F60CEB"/>
    <w:rsid w:val="00F62C07"/>
    <w:rsid w:val="00F62ED0"/>
    <w:rsid w:val="00F66553"/>
    <w:rsid w:val="00F67A57"/>
    <w:rsid w:val="00F721A8"/>
    <w:rsid w:val="00F75176"/>
    <w:rsid w:val="00F8219D"/>
    <w:rsid w:val="00F841B2"/>
    <w:rsid w:val="00F854C8"/>
    <w:rsid w:val="00F920C4"/>
    <w:rsid w:val="00F945B3"/>
    <w:rsid w:val="00F958E4"/>
    <w:rsid w:val="00F979B8"/>
    <w:rsid w:val="00F97F6F"/>
    <w:rsid w:val="00FA150E"/>
    <w:rsid w:val="00FA169F"/>
    <w:rsid w:val="00FA2D72"/>
    <w:rsid w:val="00FA365E"/>
    <w:rsid w:val="00FA3E3F"/>
    <w:rsid w:val="00FA4D5E"/>
    <w:rsid w:val="00FA6DA7"/>
    <w:rsid w:val="00FB169A"/>
    <w:rsid w:val="00FB1EEC"/>
    <w:rsid w:val="00FB4598"/>
    <w:rsid w:val="00FC105F"/>
    <w:rsid w:val="00FC1919"/>
    <w:rsid w:val="00FC327D"/>
    <w:rsid w:val="00FC45A5"/>
    <w:rsid w:val="00FC7596"/>
    <w:rsid w:val="00FC766B"/>
    <w:rsid w:val="00FD5A6D"/>
    <w:rsid w:val="00FE01CE"/>
    <w:rsid w:val="00FE0275"/>
    <w:rsid w:val="00FE2A7D"/>
    <w:rsid w:val="00FE2A86"/>
    <w:rsid w:val="00FE5FDC"/>
    <w:rsid w:val="00FE6885"/>
    <w:rsid w:val="00FF20A7"/>
    <w:rsid w:val="00FF3493"/>
    <w:rsid w:val="00FF421F"/>
    <w:rsid w:val="00FF4AC7"/>
    <w:rsid w:val="00FF7302"/>
    <w:rsid w:val="00FF7828"/>
    <w:rsid w:val="00FF7C0D"/>
    <w:rsid w:val="06226E21"/>
    <w:rsid w:val="07C00696"/>
    <w:rsid w:val="08C64882"/>
    <w:rsid w:val="096479B8"/>
    <w:rsid w:val="0B164A7C"/>
    <w:rsid w:val="17242D9A"/>
    <w:rsid w:val="18D97C22"/>
    <w:rsid w:val="2B74661D"/>
    <w:rsid w:val="2F15375E"/>
    <w:rsid w:val="2FD06845"/>
    <w:rsid w:val="31FA2DEC"/>
    <w:rsid w:val="391424A3"/>
    <w:rsid w:val="3ACE0C5C"/>
    <w:rsid w:val="41EE2896"/>
    <w:rsid w:val="467A7AE3"/>
    <w:rsid w:val="46B900EE"/>
    <w:rsid w:val="49073249"/>
    <w:rsid w:val="4F9C26E2"/>
    <w:rsid w:val="50A42ED5"/>
    <w:rsid w:val="59E87252"/>
    <w:rsid w:val="6D4B05CA"/>
    <w:rsid w:val="6ECA5987"/>
    <w:rsid w:val="6ECB4986"/>
    <w:rsid w:val="70BD7AB5"/>
    <w:rsid w:val="71782AD2"/>
    <w:rsid w:val="7429705B"/>
    <w:rsid w:val="76E74C60"/>
    <w:rsid w:val="786825A7"/>
    <w:rsid w:val="7BA42642"/>
    <w:rsid w:val="7DF36FA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nhideWhenUsed="0" w:uiPriority="1"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unhideWhenUsed="0" w:uiPriority="22" w:semiHidden="0" w:name="Strong"/>
    <w:lsdException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heme="minorBidi"/>
      <w:kern w:val="2"/>
      <w:sz w:val="21"/>
      <w:szCs w:val="22"/>
      <w:lang w:val="en-US" w:eastAsia="zh-CN" w:bidi="ar-SA"/>
    </w:rPr>
  </w:style>
  <w:style w:type="paragraph" w:styleId="2">
    <w:name w:val="heading 1"/>
    <w:basedOn w:val="1"/>
    <w:next w:val="1"/>
    <w:link w:val="39"/>
    <w:qFormat/>
    <w:uiPriority w:val="9"/>
    <w:pPr>
      <w:keepNext/>
      <w:keepLines/>
      <w:outlineLvl w:val="0"/>
    </w:pPr>
    <w:rPr>
      <w:rFonts w:eastAsia="黑体" w:asciiTheme="minorHAnsi" w:hAnsiTheme="minorHAnsi"/>
      <w:b/>
      <w:bCs/>
      <w:kern w:val="44"/>
      <w:sz w:val="28"/>
      <w:szCs w:val="44"/>
    </w:rPr>
  </w:style>
  <w:style w:type="paragraph" w:styleId="3">
    <w:name w:val="heading 2"/>
    <w:basedOn w:val="1"/>
    <w:next w:val="1"/>
    <w:link w:val="62"/>
    <w:semiHidden/>
    <w:unhideWhenUsed/>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66"/>
    <w:unhideWhenUsed/>
    <w:qFormat/>
    <w:uiPriority w:val="9"/>
    <w:pPr>
      <w:keepNext/>
      <w:keepLines/>
      <w:spacing w:before="260" w:after="260" w:line="416" w:lineRule="auto"/>
      <w:outlineLvl w:val="2"/>
    </w:pPr>
    <w:rPr>
      <w:rFonts w:asciiTheme="minorHAnsi" w:hAnsiTheme="minorHAnsi" w:eastAsiaTheme="minorEastAsia"/>
      <w:b/>
      <w:bCs/>
      <w:sz w:val="32"/>
      <w:szCs w:val="32"/>
    </w:rPr>
  </w:style>
  <w:style w:type="paragraph" w:styleId="5">
    <w:name w:val="heading 9"/>
    <w:basedOn w:val="1"/>
    <w:next w:val="1"/>
    <w:qFormat/>
    <w:uiPriority w:val="1"/>
    <w:pPr>
      <w:outlineLvl w:val="8"/>
    </w:pPr>
    <w:rPr>
      <w:sz w:val="31"/>
      <w:szCs w:val="31"/>
    </w:rPr>
  </w:style>
  <w:style w:type="character" w:default="1" w:styleId="20">
    <w:name w:val="Default Paragraph Font"/>
    <w:semiHidden/>
    <w:unhideWhenUsed/>
    <w:uiPriority w:val="1"/>
  </w:style>
  <w:style w:type="table" w:default="1" w:styleId="18">
    <w:name w:val="Normal Table"/>
    <w:semiHidden/>
    <w:unhideWhenUsed/>
    <w:uiPriority w:val="99"/>
    <w:tblPr>
      <w:tblLayout w:type="fixed"/>
      <w:tblCellMar>
        <w:top w:w="0" w:type="dxa"/>
        <w:left w:w="108" w:type="dxa"/>
        <w:bottom w:w="0" w:type="dxa"/>
        <w:right w:w="108" w:type="dxa"/>
      </w:tblCellMar>
    </w:tblPr>
  </w:style>
  <w:style w:type="paragraph" w:styleId="6">
    <w:name w:val="annotation text"/>
    <w:basedOn w:val="1"/>
    <w:link w:val="69"/>
    <w:semiHidden/>
    <w:unhideWhenUsed/>
    <w:qFormat/>
    <w:uiPriority w:val="99"/>
    <w:pPr>
      <w:jc w:val="left"/>
    </w:pPr>
    <w:rPr>
      <w:rFonts w:asciiTheme="minorHAnsi" w:hAnsiTheme="minorHAnsi" w:eastAsiaTheme="minorEastAsia"/>
    </w:rPr>
  </w:style>
  <w:style w:type="paragraph" w:styleId="7">
    <w:name w:val="Body Text"/>
    <w:basedOn w:val="1"/>
    <w:qFormat/>
    <w:uiPriority w:val="1"/>
    <w:rPr>
      <w:sz w:val="30"/>
      <w:szCs w:val="30"/>
    </w:rPr>
  </w:style>
  <w:style w:type="paragraph" w:styleId="8">
    <w:name w:val="toc 3"/>
    <w:basedOn w:val="1"/>
    <w:next w:val="1"/>
    <w:unhideWhenUsed/>
    <w:uiPriority w:val="39"/>
    <w:pPr>
      <w:ind w:left="840" w:leftChars="400"/>
    </w:pPr>
  </w:style>
  <w:style w:type="paragraph" w:styleId="9">
    <w:name w:val="Date"/>
    <w:basedOn w:val="1"/>
    <w:next w:val="1"/>
    <w:link w:val="82"/>
    <w:semiHidden/>
    <w:unhideWhenUsed/>
    <w:uiPriority w:val="99"/>
    <w:pPr>
      <w:ind w:left="100" w:leftChars="2500"/>
    </w:pPr>
  </w:style>
  <w:style w:type="paragraph" w:styleId="10">
    <w:name w:val="Balloon Text"/>
    <w:basedOn w:val="1"/>
    <w:link w:val="38"/>
    <w:semiHidden/>
    <w:unhideWhenUsed/>
    <w:qFormat/>
    <w:uiPriority w:val="99"/>
    <w:rPr>
      <w:sz w:val="18"/>
      <w:szCs w:val="18"/>
    </w:rPr>
  </w:style>
  <w:style w:type="paragraph" w:styleId="11">
    <w:name w:val="footer"/>
    <w:basedOn w:val="1"/>
    <w:link w:val="65"/>
    <w:unhideWhenUsed/>
    <w:qFormat/>
    <w:uiPriority w:val="99"/>
    <w:pPr>
      <w:tabs>
        <w:tab w:val="center" w:pos="4153"/>
        <w:tab w:val="right" w:pos="8306"/>
      </w:tabs>
      <w:snapToGrid w:val="0"/>
      <w:jc w:val="left"/>
    </w:pPr>
    <w:rPr>
      <w:sz w:val="18"/>
      <w:szCs w:val="18"/>
    </w:rPr>
  </w:style>
  <w:style w:type="paragraph" w:styleId="12">
    <w:name w:val="header"/>
    <w:basedOn w:val="1"/>
    <w:link w:val="64"/>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pPr>
      <w:tabs>
        <w:tab w:val="right" w:leader="dot" w:pos="8381"/>
      </w:tabs>
    </w:pPr>
  </w:style>
  <w:style w:type="paragraph" w:styleId="14">
    <w:name w:val="toc 2"/>
    <w:basedOn w:val="1"/>
    <w:next w:val="1"/>
    <w:unhideWhenUsed/>
    <w:qFormat/>
    <w:uiPriority w:val="39"/>
    <w:pPr>
      <w:tabs>
        <w:tab w:val="right" w:leader="dot" w:pos="8381"/>
      </w:tabs>
      <w:ind w:left="283" w:leftChars="135"/>
    </w:pPr>
  </w:style>
  <w:style w:type="paragraph" w:styleId="15">
    <w:name w:val="Normal (Web)"/>
    <w:basedOn w:val="1"/>
    <w:semiHidden/>
    <w:unhideWhenUsed/>
    <w:qFormat/>
    <w:uiPriority w:val="99"/>
    <w:pPr>
      <w:widowControl/>
      <w:spacing w:before="100" w:beforeAutospacing="1" w:after="100" w:afterAutospacing="1"/>
      <w:jc w:val="left"/>
    </w:pPr>
    <w:rPr>
      <w:rFonts w:cs="宋体"/>
      <w:kern w:val="0"/>
      <w:sz w:val="24"/>
      <w:szCs w:val="24"/>
    </w:rPr>
  </w:style>
  <w:style w:type="paragraph" w:styleId="16">
    <w:name w:val="Title"/>
    <w:basedOn w:val="1"/>
    <w:next w:val="1"/>
    <w:link w:val="72"/>
    <w:qFormat/>
    <w:uiPriority w:val="10"/>
    <w:pPr>
      <w:spacing w:before="240" w:after="60"/>
      <w:jc w:val="center"/>
      <w:outlineLvl w:val="0"/>
    </w:pPr>
    <w:rPr>
      <w:rFonts w:asciiTheme="majorHAnsi" w:hAnsiTheme="majorHAnsi" w:cstheme="majorBidi"/>
      <w:b/>
      <w:bCs/>
      <w:sz w:val="32"/>
      <w:szCs w:val="32"/>
    </w:rPr>
  </w:style>
  <w:style w:type="paragraph" w:styleId="17">
    <w:name w:val="annotation subject"/>
    <w:basedOn w:val="6"/>
    <w:next w:val="6"/>
    <w:link w:val="70"/>
    <w:semiHidden/>
    <w:unhideWhenUsed/>
    <w:qFormat/>
    <w:uiPriority w:val="99"/>
    <w:rPr>
      <w:b/>
      <w:bCs/>
    </w:rPr>
  </w:style>
  <w:style w:type="table" w:styleId="19">
    <w:name w:val="Table Grid"/>
    <w:basedOn w:val="1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21">
    <w:name w:val="page number"/>
    <w:basedOn w:val="20"/>
    <w:qFormat/>
    <w:uiPriority w:val="0"/>
  </w:style>
  <w:style w:type="character" w:styleId="22">
    <w:name w:val="Hyperlink"/>
    <w:basedOn w:val="20"/>
    <w:unhideWhenUsed/>
    <w:qFormat/>
    <w:uiPriority w:val="99"/>
    <w:rPr>
      <w:color w:val="0000FF" w:themeColor="hyperlink"/>
      <w:u w:val="single"/>
      <w14:textFill>
        <w14:solidFill>
          <w14:schemeClr w14:val="hlink"/>
        </w14:solidFill>
      </w14:textFill>
    </w:rPr>
  </w:style>
  <w:style w:type="character" w:styleId="23">
    <w:name w:val="annotation reference"/>
    <w:basedOn w:val="20"/>
    <w:semiHidden/>
    <w:unhideWhenUsed/>
    <w:qFormat/>
    <w:uiPriority w:val="99"/>
    <w:rPr>
      <w:sz w:val="21"/>
      <w:szCs w:val="21"/>
    </w:rPr>
  </w:style>
  <w:style w:type="paragraph" w:customStyle="1" w:styleId="24">
    <w:name w:val="1章标题"/>
    <w:basedOn w:val="1"/>
    <w:link w:val="26"/>
    <w:qFormat/>
    <w:uiPriority w:val="0"/>
    <w:pPr>
      <w:numPr>
        <w:ilvl w:val="0"/>
        <w:numId w:val="1"/>
      </w:numPr>
      <w:spacing w:beforeLines="50" w:afterLines="50"/>
      <w:jc w:val="center"/>
      <w:outlineLvl w:val="0"/>
    </w:pPr>
    <w:rPr>
      <w:rFonts w:ascii="黑体" w:hAnsi="黑体" w:eastAsia="黑体"/>
      <w:sz w:val="30"/>
      <w:szCs w:val="24"/>
    </w:rPr>
  </w:style>
  <w:style w:type="paragraph" w:customStyle="1" w:styleId="25">
    <w:name w:val="1.1条文"/>
    <w:basedOn w:val="1"/>
    <w:link w:val="28"/>
    <w:qFormat/>
    <w:uiPriority w:val="0"/>
    <w:pPr>
      <w:numPr>
        <w:ilvl w:val="1"/>
        <w:numId w:val="2"/>
      </w:numPr>
    </w:pPr>
  </w:style>
  <w:style w:type="character" w:customStyle="1" w:styleId="26">
    <w:name w:val="1章标题 Char"/>
    <w:basedOn w:val="20"/>
    <w:link w:val="24"/>
    <w:qFormat/>
    <w:uiPriority w:val="0"/>
    <w:rPr>
      <w:rFonts w:ascii="黑体" w:hAnsi="黑体" w:eastAsia="黑体" w:cstheme="minorBidi"/>
      <w:kern w:val="2"/>
      <w:sz w:val="30"/>
      <w:szCs w:val="24"/>
    </w:rPr>
  </w:style>
  <w:style w:type="paragraph" w:customStyle="1" w:styleId="27">
    <w:name w:val="1.1.1条标题"/>
    <w:basedOn w:val="1"/>
    <w:link w:val="30"/>
    <w:qFormat/>
    <w:uiPriority w:val="0"/>
    <w:pPr>
      <w:numPr>
        <w:ilvl w:val="2"/>
        <w:numId w:val="1"/>
      </w:numPr>
      <w:tabs>
        <w:tab w:val="left" w:pos="0"/>
      </w:tabs>
      <w:spacing w:beforeLines="50" w:afterLines="50"/>
      <w:outlineLvl w:val="2"/>
    </w:pPr>
    <w:rPr>
      <w:rFonts w:ascii="黑体" w:hAnsi="黑体" w:eastAsia="黑体"/>
    </w:rPr>
  </w:style>
  <w:style w:type="character" w:customStyle="1" w:styleId="28">
    <w:name w:val="1.1条文 Char"/>
    <w:basedOn w:val="20"/>
    <w:link w:val="25"/>
    <w:qFormat/>
    <w:uiPriority w:val="0"/>
  </w:style>
  <w:style w:type="paragraph" w:customStyle="1" w:styleId="29">
    <w:name w:val="1.1.1.1条文"/>
    <w:basedOn w:val="1"/>
    <w:link w:val="32"/>
    <w:qFormat/>
    <w:uiPriority w:val="0"/>
    <w:pPr>
      <w:numPr>
        <w:ilvl w:val="3"/>
        <w:numId w:val="1"/>
      </w:numPr>
      <w:tabs>
        <w:tab w:val="left" w:pos="0"/>
      </w:tabs>
    </w:pPr>
  </w:style>
  <w:style w:type="character" w:customStyle="1" w:styleId="30">
    <w:name w:val="1.1.1条标题 Char"/>
    <w:basedOn w:val="20"/>
    <w:link w:val="27"/>
    <w:qFormat/>
    <w:uiPriority w:val="0"/>
    <w:rPr>
      <w:rFonts w:ascii="黑体" w:hAnsi="黑体" w:eastAsia="黑体"/>
      <w:kern w:val="2"/>
      <w:sz w:val="21"/>
      <w:szCs w:val="22"/>
    </w:rPr>
  </w:style>
  <w:style w:type="paragraph" w:customStyle="1" w:styleId="31">
    <w:name w:val="(1)列项"/>
    <w:basedOn w:val="1"/>
    <w:link w:val="34"/>
    <w:qFormat/>
    <w:uiPriority w:val="0"/>
    <w:pPr>
      <w:numPr>
        <w:ilvl w:val="4"/>
        <w:numId w:val="1"/>
      </w:numPr>
      <w:tabs>
        <w:tab w:val="left" w:pos="0"/>
      </w:tabs>
      <w:spacing w:line="360" w:lineRule="auto"/>
      <w:ind w:left="275" w:leftChars="200" w:hanging="75" w:hangingChars="75"/>
    </w:pPr>
  </w:style>
  <w:style w:type="character" w:customStyle="1" w:styleId="32">
    <w:name w:val="1.1.1.1条文 Char"/>
    <w:basedOn w:val="20"/>
    <w:link w:val="29"/>
    <w:qFormat/>
    <w:uiPriority w:val="0"/>
    <w:rPr>
      <w:rFonts w:ascii="宋体" w:hAnsi="宋体" w:eastAsia="宋体"/>
      <w:kern w:val="2"/>
      <w:sz w:val="21"/>
      <w:szCs w:val="22"/>
    </w:rPr>
  </w:style>
  <w:style w:type="paragraph" w:customStyle="1" w:styleId="33">
    <w:name w:val="(a)目"/>
    <w:basedOn w:val="1"/>
    <w:link w:val="36"/>
    <w:qFormat/>
    <w:uiPriority w:val="0"/>
    <w:pPr>
      <w:numPr>
        <w:ilvl w:val="5"/>
        <w:numId w:val="1"/>
      </w:numPr>
    </w:pPr>
  </w:style>
  <w:style w:type="character" w:customStyle="1" w:styleId="34">
    <w:name w:val="(1)列项 Char"/>
    <w:basedOn w:val="20"/>
    <w:link w:val="31"/>
    <w:qFormat/>
    <w:uiPriority w:val="0"/>
    <w:rPr>
      <w:rFonts w:ascii="宋体" w:hAnsi="宋体" w:cstheme="minorBidi"/>
      <w:kern w:val="2"/>
      <w:sz w:val="21"/>
      <w:szCs w:val="22"/>
    </w:rPr>
  </w:style>
  <w:style w:type="paragraph" w:customStyle="1" w:styleId="35">
    <w:name w:val="段"/>
    <w:basedOn w:val="1"/>
    <w:link w:val="37"/>
    <w:qFormat/>
    <w:uiPriority w:val="0"/>
    <w:pPr>
      <w:ind w:firstLine="420" w:firstLineChars="200"/>
    </w:pPr>
  </w:style>
  <w:style w:type="character" w:customStyle="1" w:styleId="36">
    <w:name w:val="(a)目 Char"/>
    <w:basedOn w:val="20"/>
    <w:link w:val="33"/>
    <w:qFormat/>
    <w:uiPriority w:val="0"/>
    <w:rPr>
      <w:rFonts w:ascii="宋体" w:hAnsi="宋体" w:eastAsia="宋体"/>
      <w:kern w:val="2"/>
      <w:sz w:val="21"/>
      <w:szCs w:val="22"/>
    </w:rPr>
  </w:style>
  <w:style w:type="character" w:customStyle="1" w:styleId="37">
    <w:name w:val="段 Char"/>
    <w:basedOn w:val="20"/>
    <w:link w:val="35"/>
    <w:qFormat/>
    <w:uiPriority w:val="0"/>
  </w:style>
  <w:style w:type="character" w:customStyle="1" w:styleId="38">
    <w:name w:val="批注框文本 字符"/>
    <w:basedOn w:val="20"/>
    <w:link w:val="10"/>
    <w:semiHidden/>
    <w:qFormat/>
    <w:uiPriority w:val="99"/>
    <w:rPr>
      <w:sz w:val="18"/>
      <w:szCs w:val="18"/>
    </w:rPr>
  </w:style>
  <w:style w:type="character" w:customStyle="1" w:styleId="39">
    <w:name w:val="标题 1 字符"/>
    <w:basedOn w:val="20"/>
    <w:link w:val="2"/>
    <w:qFormat/>
    <w:uiPriority w:val="9"/>
    <w:rPr>
      <w:rFonts w:eastAsia="黑体" w:asciiTheme="minorHAnsi" w:hAnsiTheme="minorHAnsi"/>
      <w:b/>
      <w:bCs/>
      <w:kern w:val="44"/>
      <w:sz w:val="28"/>
      <w:szCs w:val="44"/>
    </w:rPr>
  </w:style>
  <w:style w:type="paragraph" w:customStyle="1" w:styleId="40">
    <w:name w:val="附录标题"/>
    <w:basedOn w:val="1"/>
    <w:link w:val="41"/>
    <w:qFormat/>
    <w:uiPriority w:val="0"/>
    <w:pPr>
      <w:numPr>
        <w:ilvl w:val="0"/>
        <w:numId w:val="3"/>
      </w:numPr>
      <w:jc w:val="center"/>
      <w:outlineLvl w:val="0"/>
    </w:pPr>
    <w:rPr>
      <w:rFonts w:ascii="黑体" w:hAnsi="黑体" w:eastAsia="黑体"/>
      <w:szCs w:val="24"/>
    </w:rPr>
  </w:style>
  <w:style w:type="character" w:customStyle="1" w:styleId="41">
    <w:name w:val="附录标题 Char"/>
    <w:basedOn w:val="20"/>
    <w:link w:val="40"/>
    <w:qFormat/>
    <w:uiPriority w:val="0"/>
    <w:rPr>
      <w:rFonts w:ascii="黑体" w:hAnsi="黑体" w:eastAsia="黑体"/>
      <w:szCs w:val="24"/>
    </w:rPr>
  </w:style>
  <w:style w:type="paragraph" w:customStyle="1" w:styleId="42">
    <w:name w:val="附录条1"/>
    <w:basedOn w:val="1"/>
    <w:qFormat/>
    <w:uiPriority w:val="0"/>
    <w:pPr>
      <w:numPr>
        <w:ilvl w:val="1"/>
        <w:numId w:val="3"/>
      </w:numPr>
      <w:spacing w:beforeLines="50" w:afterLines="50"/>
    </w:pPr>
    <w:rPr>
      <w:rFonts w:ascii="黑体" w:hAnsi="黑体" w:eastAsia="黑体"/>
      <w:szCs w:val="21"/>
    </w:rPr>
  </w:style>
  <w:style w:type="paragraph" w:customStyle="1" w:styleId="43">
    <w:name w:val="附录条2"/>
    <w:basedOn w:val="1"/>
    <w:link w:val="45"/>
    <w:qFormat/>
    <w:uiPriority w:val="0"/>
    <w:pPr>
      <w:numPr>
        <w:ilvl w:val="2"/>
        <w:numId w:val="3"/>
      </w:numPr>
      <w:spacing w:beforeLines="50" w:afterLines="50"/>
    </w:pPr>
    <w:rPr>
      <w:rFonts w:ascii="黑体" w:hAnsi="黑体" w:eastAsia="黑体"/>
    </w:rPr>
  </w:style>
  <w:style w:type="paragraph" w:customStyle="1" w:styleId="44">
    <w:name w:val="附录条3"/>
    <w:basedOn w:val="43"/>
    <w:link w:val="46"/>
    <w:qFormat/>
    <w:uiPriority w:val="0"/>
    <w:pPr>
      <w:numPr>
        <w:ilvl w:val="3"/>
      </w:numPr>
    </w:pPr>
  </w:style>
  <w:style w:type="character" w:customStyle="1" w:styleId="45">
    <w:name w:val="附录条2 Char"/>
    <w:basedOn w:val="20"/>
    <w:link w:val="43"/>
    <w:qFormat/>
    <w:uiPriority w:val="0"/>
    <w:rPr>
      <w:rFonts w:ascii="黑体" w:hAnsi="黑体" w:eastAsia="黑体"/>
    </w:rPr>
  </w:style>
  <w:style w:type="character" w:customStyle="1" w:styleId="46">
    <w:name w:val="附录条3 Char"/>
    <w:basedOn w:val="45"/>
    <w:link w:val="44"/>
    <w:qFormat/>
    <w:uiPriority w:val="0"/>
    <w:rPr>
      <w:rFonts w:ascii="黑体" w:hAnsi="黑体" w:eastAsia="黑体"/>
    </w:rPr>
  </w:style>
  <w:style w:type="paragraph" w:customStyle="1" w:styleId="47">
    <w:name w:val="文件名"/>
    <w:basedOn w:val="1"/>
    <w:link w:val="49"/>
    <w:qFormat/>
    <w:uiPriority w:val="0"/>
    <w:pPr>
      <w:jc w:val="center"/>
    </w:pPr>
    <w:rPr>
      <w:rFonts w:ascii="Arial" w:hAnsi="Arial" w:eastAsia="黑体" w:cs="Arial"/>
      <w:sz w:val="32"/>
      <w:szCs w:val="32"/>
    </w:rPr>
  </w:style>
  <w:style w:type="paragraph" w:customStyle="1" w:styleId="48">
    <w:name w:val="文件号"/>
    <w:basedOn w:val="1"/>
    <w:link w:val="50"/>
    <w:qFormat/>
    <w:uiPriority w:val="0"/>
    <w:pPr>
      <w:jc w:val="center"/>
    </w:pPr>
    <w:rPr>
      <w:rFonts w:ascii="黑体" w:hAnsi="Arial" w:eastAsia="黑体" w:cs="Arial"/>
      <w:sz w:val="18"/>
      <w:szCs w:val="18"/>
    </w:rPr>
  </w:style>
  <w:style w:type="character" w:customStyle="1" w:styleId="49">
    <w:name w:val="文件名 Char"/>
    <w:basedOn w:val="20"/>
    <w:link w:val="47"/>
    <w:qFormat/>
    <w:uiPriority w:val="0"/>
    <w:rPr>
      <w:rFonts w:ascii="Arial" w:hAnsi="Arial" w:eastAsia="黑体" w:cs="Arial"/>
      <w:sz w:val="32"/>
      <w:szCs w:val="32"/>
    </w:rPr>
  </w:style>
  <w:style w:type="character" w:customStyle="1" w:styleId="50">
    <w:name w:val="文件号 Char"/>
    <w:basedOn w:val="20"/>
    <w:link w:val="48"/>
    <w:qFormat/>
    <w:uiPriority w:val="0"/>
    <w:rPr>
      <w:rFonts w:ascii="黑体" w:hAnsi="Arial" w:eastAsia="黑体" w:cs="Arial"/>
      <w:sz w:val="18"/>
      <w:szCs w:val="18"/>
    </w:rPr>
  </w:style>
  <w:style w:type="paragraph" w:customStyle="1" w:styleId="51">
    <w:name w:val="1.1条标题"/>
    <w:basedOn w:val="25"/>
    <w:link w:val="53"/>
    <w:qFormat/>
    <w:uiPriority w:val="0"/>
    <w:pPr>
      <w:numPr>
        <w:numId w:val="1"/>
      </w:numPr>
      <w:tabs>
        <w:tab w:val="left" w:pos="0"/>
      </w:tabs>
      <w:spacing w:before="50" w:beforeLines="50" w:after="50" w:afterLines="50" w:line="360" w:lineRule="auto"/>
      <w:ind w:left="0"/>
      <w:jc w:val="center"/>
      <w:outlineLvl w:val="1"/>
    </w:pPr>
    <w:rPr>
      <w:rFonts w:ascii="黑体" w:hAnsi="黑体" w:eastAsia="黑体"/>
      <w:sz w:val="28"/>
    </w:rPr>
  </w:style>
  <w:style w:type="paragraph" w:customStyle="1" w:styleId="52">
    <w:name w:val="注"/>
    <w:basedOn w:val="1"/>
    <w:link w:val="55"/>
    <w:qFormat/>
    <w:uiPriority w:val="0"/>
    <w:pPr>
      <w:ind w:left="200" w:leftChars="200" w:firstLine="360" w:firstLineChars="200"/>
    </w:pPr>
    <w:rPr>
      <w:b/>
      <w:sz w:val="18"/>
      <w:szCs w:val="18"/>
    </w:rPr>
  </w:style>
  <w:style w:type="character" w:customStyle="1" w:styleId="53">
    <w:name w:val="1.1条标题 Char"/>
    <w:basedOn w:val="28"/>
    <w:link w:val="51"/>
    <w:qFormat/>
    <w:uiPriority w:val="0"/>
    <w:rPr>
      <w:rFonts w:ascii="黑体" w:hAnsi="黑体" w:eastAsia="黑体"/>
      <w:kern w:val="2"/>
      <w:sz w:val="28"/>
      <w:szCs w:val="22"/>
    </w:rPr>
  </w:style>
  <w:style w:type="paragraph" w:customStyle="1" w:styleId="54">
    <w:name w:val="1.1.1条文"/>
    <w:basedOn w:val="27"/>
    <w:link w:val="57"/>
    <w:qFormat/>
    <w:uiPriority w:val="0"/>
    <w:pPr>
      <w:spacing w:beforeLines="0" w:afterLines="0"/>
      <w:outlineLvl w:val="9"/>
    </w:pPr>
    <w:rPr>
      <w:rFonts w:ascii="宋体" w:eastAsia="宋体" w:hAnsiTheme="minorEastAsia"/>
      <w:szCs w:val="21"/>
    </w:rPr>
  </w:style>
  <w:style w:type="character" w:customStyle="1" w:styleId="55">
    <w:name w:val="注 Char"/>
    <w:basedOn w:val="20"/>
    <w:link w:val="52"/>
    <w:qFormat/>
    <w:uiPriority w:val="0"/>
    <w:rPr>
      <w:rFonts w:hAnsi="宋体" w:eastAsia="宋体"/>
      <w:b/>
      <w:sz w:val="18"/>
      <w:szCs w:val="18"/>
    </w:rPr>
  </w:style>
  <w:style w:type="paragraph" w:customStyle="1" w:styleId="56">
    <w:name w:val="1.1.1.1条标题"/>
    <w:basedOn w:val="29"/>
    <w:link w:val="59"/>
    <w:qFormat/>
    <w:uiPriority w:val="0"/>
    <w:pPr>
      <w:spacing w:beforeLines="50" w:afterLines="50"/>
    </w:pPr>
    <w:rPr>
      <w:rFonts w:ascii="黑体" w:hAnsi="黑体" w:eastAsia="黑体"/>
      <w:szCs w:val="21"/>
    </w:rPr>
  </w:style>
  <w:style w:type="character" w:customStyle="1" w:styleId="57">
    <w:name w:val="1.1.1条文 Char"/>
    <w:basedOn w:val="30"/>
    <w:link w:val="54"/>
    <w:qFormat/>
    <w:uiPriority w:val="0"/>
    <w:rPr>
      <w:rFonts w:ascii="宋体" w:eastAsia="宋体" w:hAnsiTheme="minorEastAsia"/>
      <w:kern w:val="2"/>
      <w:sz w:val="21"/>
      <w:szCs w:val="21"/>
    </w:rPr>
  </w:style>
  <w:style w:type="paragraph" w:customStyle="1" w:styleId="58">
    <w:name w:val="表标题"/>
    <w:basedOn w:val="1"/>
    <w:link w:val="61"/>
    <w:qFormat/>
    <w:uiPriority w:val="0"/>
    <w:pPr>
      <w:jc w:val="center"/>
    </w:pPr>
    <w:rPr>
      <w:rFonts w:ascii="黑体" w:hAnsi="黑体" w:eastAsia="黑体"/>
    </w:rPr>
  </w:style>
  <w:style w:type="character" w:customStyle="1" w:styleId="59">
    <w:name w:val="1.1.1.1条标题 Char"/>
    <w:basedOn w:val="32"/>
    <w:link w:val="56"/>
    <w:qFormat/>
    <w:uiPriority w:val="0"/>
    <w:rPr>
      <w:rFonts w:ascii="黑体" w:hAnsi="黑体" w:eastAsia="黑体"/>
      <w:kern w:val="2"/>
      <w:sz w:val="21"/>
      <w:szCs w:val="21"/>
    </w:rPr>
  </w:style>
  <w:style w:type="paragraph" w:customStyle="1" w:styleId="60">
    <w:name w:val="图标题"/>
    <w:basedOn w:val="1"/>
    <w:link w:val="63"/>
    <w:qFormat/>
    <w:uiPriority w:val="0"/>
    <w:pPr>
      <w:jc w:val="center"/>
    </w:pPr>
    <w:rPr>
      <w:rFonts w:ascii="黑体" w:hAnsi="黑体" w:eastAsia="黑体"/>
    </w:rPr>
  </w:style>
  <w:style w:type="character" w:customStyle="1" w:styleId="61">
    <w:name w:val="表标题 Char"/>
    <w:basedOn w:val="20"/>
    <w:link w:val="58"/>
    <w:qFormat/>
    <w:uiPriority w:val="0"/>
    <w:rPr>
      <w:rFonts w:ascii="黑体" w:hAnsi="黑体" w:eastAsia="黑体"/>
    </w:rPr>
  </w:style>
  <w:style w:type="character" w:customStyle="1" w:styleId="62">
    <w:name w:val="标题 2 字符"/>
    <w:basedOn w:val="20"/>
    <w:link w:val="3"/>
    <w:semiHidden/>
    <w:qFormat/>
    <w:uiPriority w:val="9"/>
    <w:rPr>
      <w:rFonts w:asciiTheme="majorHAnsi" w:hAnsiTheme="majorHAnsi" w:eastAsiaTheme="majorEastAsia" w:cstheme="majorBidi"/>
      <w:b/>
      <w:bCs/>
      <w:sz w:val="32"/>
      <w:szCs w:val="32"/>
    </w:rPr>
  </w:style>
  <w:style w:type="character" w:customStyle="1" w:styleId="63">
    <w:name w:val="图标题 Char"/>
    <w:basedOn w:val="20"/>
    <w:link w:val="60"/>
    <w:qFormat/>
    <w:uiPriority w:val="0"/>
    <w:rPr>
      <w:rFonts w:ascii="黑体" w:hAnsi="黑体" w:eastAsia="黑体"/>
    </w:rPr>
  </w:style>
  <w:style w:type="character" w:customStyle="1" w:styleId="64">
    <w:name w:val="页眉 字符"/>
    <w:basedOn w:val="20"/>
    <w:link w:val="12"/>
    <w:qFormat/>
    <w:uiPriority w:val="99"/>
    <w:rPr>
      <w:sz w:val="18"/>
      <w:szCs w:val="18"/>
    </w:rPr>
  </w:style>
  <w:style w:type="character" w:customStyle="1" w:styleId="65">
    <w:name w:val="页脚 字符"/>
    <w:basedOn w:val="20"/>
    <w:link w:val="11"/>
    <w:qFormat/>
    <w:uiPriority w:val="99"/>
    <w:rPr>
      <w:sz w:val="18"/>
      <w:szCs w:val="18"/>
    </w:rPr>
  </w:style>
  <w:style w:type="character" w:customStyle="1" w:styleId="66">
    <w:name w:val="标题 3 字符"/>
    <w:basedOn w:val="20"/>
    <w:link w:val="4"/>
    <w:semiHidden/>
    <w:qFormat/>
    <w:uiPriority w:val="9"/>
    <w:rPr>
      <w:rFonts w:asciiTheme="minorHAnsi" w:hAnsiTheme="minorHAnsi" w:eastAsiaTheme="minorEastAsia"/>
      <w:b/>
      <w:bCs/>
      <w:sz w:val="32"/>
      <w:szCs w:val="32"/>
    </w:rPr>
  </w:style>
  <w:style w:type="paragraph" w:customStyle="1" w:styleId="67">
    <w:name w:val="注释"/>
    <w:basedOn w:val="1"/>
    <w:link w:val="68"/>
    <w:qFormat/>
    <w:uiPriority w:val="0"/>
    <w:pPr>
      <w:ind w:firstLine="360" w:firstLineChars="200"/>
    </w:pPr>
    <w:rPr>
      <w:rFonts w:ascii="黑体" w:hAnsi="黑体" w:eastAsia="黑体"/>
      <w:sz w:val="18"/>
      <w:szCs w:val="18"/>
    </w:rPr>
  </w:style>
  <w:style w:type="character" w:customStyle="1" w:styleId="68">
    <w:name w:val="注释 Char"/>
    <w:basedOn w:val="20"/>
    <w:link w:val="67"/>
    <w:qFormat/>
    <w:uiPriority w:val="0"/>
    <w:rPr>
      <w:rFonts w:ascii="黑体" w:hAnsi="黑体" w:eastAsia="黑体"/>
      <w:sz w:val="18"/>
      <w:szCs w:val="18"/>
    </w:rPr>
  </w:style>
  <w:style w:type="character" w:customStyle="1" w:styleId="69">
    <w:name w:val="批注文字 字符"/>
    <w:basedOn w:val="20"/>
    <w:link w:val="6"/>
    <w:semiHidden/>
    <w:qFormat/>
    <w:uiPriority w:val="99"/>
    <w:rPr>
      <w:rFonts w:asciiTheme="minorHAnsi" w:hAnsiTheme="minorHAnsi" w:eastAsiaTheme="minorEastAsia"/>
    </w:rPr>
  </w:style>
  <w:style w:type="character" w:customStyle="1" w:styleId="70">
    <w:name w:val="批注主题 字符"/>
    <w:basedOn w:val="69"/>
    <w:link w:val="17"/>
    <w:semiHidden/>
    <w:qFormat/>
    <w:uiPriority w:val="99"/>
    <w:rPr>
      <w:rFonts w:asciiTheme="minorHAnsi" w:hAnsiTheme="minorHAnsi" w:eastAsiaTheme="minorEastAsia"/>
      <w:b/>
      <w:bCs/>
    </w:rPr>
  </w:style>
  <w:style w:type="character" w:styleId="71">
    <w:name w:val="Placeholder Text"/>
    <w:basedOn w:val="20"/>
    <w:semiHidden/>
    <w:qFormat/>
    <w:uiPriority w:val="99"/>
    <w:rPr>
      <w:color w:val="808080"/>
    </w:rPr>
  </w:style>
  <w:style w:type="character" w:customStyle="1" w:styleId="72">
    <w:name w:val="标题 字符"/>
    <w:basedOn w:val="20"/>
    <w:link w:val="16"/>
    <w:qFormat/>
    <w:uiPriority w:val="10"/>
    <w:rPr>
      <w:rFonts w:asciiTheme="majorHAnsi" w:hAnsiTheme="majorHAnsi" w:cstheme="majorBidi"/>
      <w:b/>
      <w:bCs/>
      <w:sz w:val="32"/>
      <w:szCs w:val="32"/>
    </w:rPr>
  </w:style>
  <w:style w:type="paragraph" w:styleId="73">
    <w:name w:val="List Paragraph"/>
    <w:basedOn w:val="1"/>
    <w:qFormat/>
    <w:uiPriority w:val="34"/>
    <w:pPr>
      <w:ind w:firstLine="420" w:firstLineChars="200"/>
    </w:pPr>
  </w:style>
  <w:style w:type="table" w:customStyle="1" w:styleId="74">
    <w:name w:val="Table Normal"/>
    <w:unhideWhenUsed/>
    <w:qFormat/>
    <w:uiPriority w:val="0"/>
    <w:tblPr>
      <w:tblLayout w:type="fixed"/>
      <w:tblCellMar>
        <w:top w:w="0" w:type="dxa"/>
        <w:left w:w="0" w:type="dxa"/>
        <w:bottom w:w="0" w:type="dxa"/>
        <w:right w:w="0" w:type="dxa"/>
      </w:tblCellMar>
    </w:tblPr>
  </w:style>
  <w:style w:type="paragraph" w:customStyle="1" w:styleId="75">
    <w:name w:val="注 条"/>
    <w:basedOn w:val="52"/>
    <w:qFormat/>
    <w:uiPriority w:val="0"/>
    <w:pPr>
      <w:numPr>
        <w:ilvl w:val="0"/>
        <w:numId w:val="4"/>
      </w:numPr>
      <w:ind w:left="200"/>
      <w:jc w:val="left"/>
    </w:pPr>
  </w:style>
  <w:style w:type="paragraph" w:customStyle="1" w:styleId="76">
    <w:name w:val="样式1"/>
    <w:basedOn w:val="1"/>
    <w:qFormat/>
    <w:uiPriority w:val="0"/>
  </w:style>
  <w:style w:type="paragraph" w:customStyle="1" w:styleId="77">
    <w:name w:val="Table Paragraph"/>
    <w:basedOn w:val="1"/>
    <w:qFormat/>
    <w:uiPriority w:val="1"/>
  </w:style>
  <w:style w:type="table" w:customStyle="1" w:styleId="78">
    <w:name w:val="网格型1"/>
    <w:basedOn w:val="18"/>
    <w:qFormat/>
    <w:uiPriority w:val="59"/>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79">
    <w:name w:val="Table Normal1"/>
    <w:basedOn w:val="18"/>
    <w:qFormat/>
    <w:uiPriority w:val="0"/>
    <w:rPr>
      <w:rFonts w:eastAsia="Times New Roman"/>
    </w:rPr>
    <w:tblPr>
      <w:tblLayout w:type="fixed"/>
      <w:tblCellMar>
        <w:left w:w="0" w:type="dxa"/>
        <w:right w:w="0" w:type="dxa"/>
      </w:tblCellMar>
    </w:tblPr>
  </w:style>
  <w:style w:type="table" w:customStyle="1" w:styleId="80">
    <w:name w:val="网格型4"/>
    <w:basedOn w:val="18"/>
    <w:qFormat/>
    <w:uiPriority w:val="3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81">
    <w:name w:val="网格型5"/>
    <w:basedOn w:val="18"/>
    <w:qFormat/>
    <w:uiPriority w:val="3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2">
    <w:name w:val="日期 字符"/>
    <w:basedOn w:val="20"/>
    <w:link w:val="9"/>
    <w:semiHidden/>
    <w:qFormat/>
    <w:uiPriority w:val="99"/>
    <w:rPr>
      <w:rFonts w:ascii="宋体" w:hAnsi="宋体" w:cstheme="minorBidi"/>
      <w:kern w:val="2"/>
      <w:sz w:val="21"/>
      <w:szCs w:val="22"/>
    </w:rPr>
  </w:style>
  <w:style w:type="paragraph" w:customStyle="1" w:styleId="83">
    <w:name w:val="TOC Heading"/>
    <w:basedOn w:val="2"/>
    <w:next w:val="1"/>
    <w:unhideWhenUsed/>
    <w:qFormat/>
    <w:uiPriority w:val="39"/>
    <w:pPr>
      <w:widowControl/>
      <w:spacing w:before="24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3" Type="http://schemas.openxmlformats.org/officeDocument/2006/relationships/fontTable" Target="fontTable.xml"/><Relationship Id="rId42" Type="http://schemas.openxmlformats.org/officeDocument/2006/relationships/customXml" Target="../customXml/item2.xml"/><Relationship Id="rId41" Type="http://schemas.openxmlformats.org/officeDocument/2006/relationships/numbering" Target="numbering.xml"/><Relationship Id="rId40" Type="http://schemas.openxmlformats.org/officeDocument/2006/relationships/customXml" Target="../customXml/item1.xml"/><Relationship Id="rId4" Type="http://schemas.openxmlformats.org/officeDocument/2006/relationships/header" Target="header2.xml"/><Relationship Id="rId39" Type="http://schemas.openxmlformats.org/officeDocument/2006/relationships/oleObject" Target="embeddings/oleObject17.bin"/><Relationship Id="rId38" Type="http://schemas.openxmlformats.org/officeDocument/2006/relationships/image" Target="media/image14.wmf"/><Relationship Id="rId37" Type="http://schemas.openxmlformats.org/officeDocument/2006/relationships/oleObject" Target="embeddings/oleObject16.bin"/><Relationship Id="rId36" Type="http://schemas.openxmlformats.org/officeDocument/2006/relationships/image" Target="media/image13.wmf"/><Relationship Id="rId35" Type="http://schemas.openxmlformats.org/officeDocument/2006/relationships/oleObject" Target="embeddings/oleObject15.bin"/><Relationship Id="rId34" Type="http://schemas.openxmlformats.org/officeDocument/2006/relationships/oleObject" Target="embeddings/oleObject14.bin"/><Relationship Id="rId33" Type="http://schemas.openxmlformats.org/officeDocument/2006/relationships/image" Target="media/image12.wmf"/><Relationship Id="rId32" Type="http://schemas.openxmlformats.org/officeDocument/2006/relationships/oleObject" Target="embeddings/oleObject13.bin"/><Relationship Id="rId31" Type="http://schemas.openxmlformats.org/officeDocument/2006/relationships/image" Target="media/image11.wmf"/><Relationship Id="rId30" Type="http://schemas.openxmlformats.org/officeDocument/2006/relationships/oleObject" Target="embeddings/oleObject12.bin"/><Relationship Id="rId3" Type="http://schemas.openxmlformats.org/officeDocument/2006/relationships/header" Target="header1.xml"/><Relationship Id="rId29" Type="http://schemas.openxmlformats.org/officeDocument/2006/relationships/oleObject" Target="embeddings/oleObject11.bin"/><Relationship Id="rId28" Type="http://schemas.openxmlformats.org/officeDocument/2006/relationships/oleObject" Target="embeddings/oleObject10.bin"/><Relationship Id="rId27" Type="http://schemas.openxmlformats.org/officeDocument/2006/relationships/image" Target="media/image10.wmf"/><Relationship Id="rId26" Type="http://schemas.openxmlformats.org/officeDocument/2006/relationships/oleObject" Target="embeddings/oleObject9.bin"/><Relationship Id="rId25" Type="http://schemas.openxmlformats.org/officeDocument/2006/relationships/image" Target="media/image9.wmf"/><Relationship Id="rId24" Type="http://schemas.openxmlformats.org/officeDocument/2006/relationships/oleObject" Target="embeddings/oleObject8.bin"/><Relationship Id="rId23" Type="http://schemas.openxmlformats.org/officeDocument/2006/relationships/image" Target="media/image8.wmf"/><Relationship Id="rId22" Type="http://schemas.openxmlformats.org/officeDocument/2006/relationships/oleObject" Target="embeddings/oleObject7.bin"/><Relationship Id="rId21" Type="http://schemas.openxmlformats.org/officeDocument/2006/relationships/image" Target="media/image7.wmf"/><Relationship Id="rId20" Type="http://schemas.openxmlformats.org/officeDocument/2006/relationships/oleObject" Target="embeddings/oleObject6.bin"/><Relationship Id="rId2" Type="http://schemas.openxmlformats.org/officeDocument/2006/relationships/settings" Target="settings.xml"/><Relationship Id="rId19" Type="http://schemas.openxmlformats.org/officeDocument/2006/relationships/image" Target="media/image6.wmf"/><Relationship Id="rId18" Type="http://schemas.openxmlformats.org/officeDocument/2006/relationships/oleObject" Target="embeddings/oleObject5.bin"/><Relationship Id="rId17" Type="http://schemas.openxmlformats.org/officeDocument/2006/relationships/image" Target="media/image5.wmf"/><Relationship Id="rId16" Type="http://schemas.openxmlformats.org/officeDocument/2006/relationships/oleObject" Target="embeddings/oleObject4.bin"/><Relationship Id="rId15" Type="http://schemas.openxmlformats.org/officeDocument/2006/relationships/image" Target="media/image4.wmf"/><Relationship Id="rId14" Type="http://schemas.openxmlformats.org/officeDocument/2006/relationships/oleObject" Target="embeddings/oleObject3.bin"/><Relationship Id="rId13" Type="http://schemas.openxmlformats.org/officeDocument/2006/relationships/image" Target="media/image3.wmf"/><Relationship Id="rId12" Type="http://schemas.openxmlformats.org/officeDocument/2006/relationships/oleObject" Target="embeddings/oleObject2.bin"/><Relationship Id="rId11" Type="http://schemas.openxmlformats.org/officeDocument/2006/relationships/image" Target="media/image2.wmf"/><Relationship Id="rId10" Type="http://schemas.openxmlformats.org/officeDocument/2006/relationships/oleObject" Target="embeddings/oleObject1.bin"/><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EFEI\AppData\Roaming\Microsoft\Templates\KZJ&#27169;&#26495;(&#31616;&#27905;&#29256;).dotx" TargetMode="External"/></Relationships>
</file>

<file path=word/theme/theme1.xml><?xml version="1.0" encoding="utf-8"?>
<a:theme xmlns:a="http://schemas.openxmlformats.org/drawingml/2006/main" name="Office 主题​​">
  <a:themeElements>
    <a:clrScheme name="Office">
      <a:dk1>
        <a:sysClr val="windowText" lastClr="323232"/>
      </a:dk1>
      <a:lt1>
        <a:sysClr val="window" lastClr="EBF1F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2809B23-CEC5-4DE2-AB35-1D3FAB5593F4}">
  <ds:schemaRefs/>
</ds:datastoreItem>
</file>

<file path=docProps/app.xml><?xml version="1.0" encoding="utf-8"?>
<Properties xmlns="http://schemas.openxmlformats.org/officeDocument/2006/extended-properties" xmlns:vt="http://schemas.openxmlformats.org/officeDocument/2006/docPropsVTypes">
  <Template>KZJ模板(简洁版)</Template>
  <Pages>31</Pages>
  <Words>2888</Words>
  <Characters>16466</Characters>
  <Lines>137</Lines>
  <Paragraphs>38</Paragraphs>
  <TotalTime>2</TotalTime>
  <ScaleCrop>false</ScaleCrop>
  <LinksUpToDate>false</LinksUpToDate>
  <CharactersWithSpaces>19316</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2021-04-08T03:44:00Z</dcterms:created>
  <dc:creator>谢非</dc:creator>
  <cp:lastModifiedBy>Administrator</cp:lastModifiedBy>
  <cp:lastPrinted>2021-01-25T07:57:00Z</cp:lastPrinted>
  <dcterms:modified xsi:type="dcterms:W3CDTF">2021-05-10T07:43:15Z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53B7E49FCB97488C962BD0F85EBC4010</vt:lpwstr>
  </property>
</Properties>
</file>