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CF350">
      <w:pPr>
        <w:keepNext w:val="0"/>
        <w:keepLines w:val="0"/>
        <w:pageBreakBefore w:val="0"/>
        <w:widowControl w:val="0"/>
        <w:kinsoku/>
        <w:wordWrap/>
        <w:overflowPunct/>
        <w:topLinePunct w:val="0"/>
        <w:autoSpaceDE/>
        <w:autoSpaceDN/>
        <w:bidi w:val="0"/>
        <w:adjustRightInd/>
        <w:spacing w:line="590" w:lineRule="exact"/>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eastAsia="zh-CN"/>
        </w:rPr>
        <w:t>附件</w:t>
      </w:r>
      <w:r>
        <w:rPr>
          <w:rFonts w:hint="default" w:ascii="Times New Roman" w:hAnsi="Times New Roman" w:eastAsia="黑体" w:cs="Times New Roman"/>
          <w:color w:val="000000"/>
          <w:sz w:val="32"/>
          <w:szCs w:val="32"/>
          <w:lang w:val="en-US" w:eastAsia="zh-CN"/>
        </w:rPr>
        <w:t>2</w:t>
      </w:r>
    </w:p>
    <w:p w14:paraId="086023A0">
      <w:pPr>
        <w:pStyle w:val="2"/>
        <w:keepNext w:val="0"/>
        <w:keepLines w:val="0"/>
        <w:pageBreakBefore w:val="0"/>
        <w:widowControl w:val="0"/>
        <w:kinsoku/>
        <w:wordWrap/>
        <w:overflowPunct/>
        <w:topLinePunct w:val="0"/>
        <w:autoSpaceDE/>
        <w:autoSpaceDN/>
        <w:bidi w:val="0"/>
        <w:adjustRightInd/>
        <w:spacing w:beforeLines="0" w:afterLines="0" w:line="590" w:lineRule="exact"/>
        <w:textAlignment w:val="auto"/>
        <w:rPr>
          <w:rFonts w:hint="default" w:ascii="Times New Roman" w:hAnsi="Times New Roman" w:cs="Times New Roman"/>
          <w:lang w:val="en-US" w:eastAsia="zh-CN"/>
        </w:rPr>
      </w:pPr>
    </w:p>
    <w:p w14:paraId="23C248A7">
      <w:pPr>
        <w:keepNext w:val="0"/>
        <w:keepLines w:val="0"/>
        <w:pageBreakBefore w:val="0"/>
        <w:widowControl w:val="0"/>
        <w:kinsoku/>
        <w:wordWrap/>
        <w:overflowPunct/>
        <w:topLinePunct w:val="0"/>
        <w:autoSpaceDE/>
        <w:autoSpaceDN/>
        <w:bidi w:val="0"/>
        <w:adjustRightInd/>
        <w:spacing w:line="590" w:lineRule="exact"/>
        <w:jc w:val="center"/>
        <w:textAlignment w:val="auto"/>
        <w:rPr>
          <w:rFonts w:hint="default" w:ascii="Times New Roman" w:hAnsi="Times New Roman" w:cs="Times New Roman"/>
          <w:lang w:val="en-US" w:eastAsia="zh-CN"/>
        </w:rPr>
      </w:pPr>
      <w:r>
        <w:rPr>
          <w:rFonts w:hint="default" w:ascii="Times New Roman" w:hAnsi="Times New Roman" w:eastAsia="方正小标宋简体" w:cs="Times New Roman"/>
          <w:color w:val="000000"/>
          <w:kern w:val="2"/>
          <w:sz w:val="44"/>
          <w:szCs w:val="44"/>
          <w:lang w:val="en-US" w:eastAsia="zh-CN" w:bidi="ar-SA"/>
        </w:rPr>
        <w:t>服务内容和服务质量要求</w:t>
      </w:r>
    </w:p>
    <w:p w14:paraId="7D481E29">
      <w:pPr>
        <w:pStyle w:val="3"/>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right="0" w:rightChars="0" w:firstLine="0" w:firstLineChars="0"/>
        <w:jc w:val="left"/>
        <w:textAlignment w:val="auto"/>
        <w:outlineLvl w:val="9"/>
        <w:rPr>
          <w:rFonts w:hint="default" w:ascii="Times New Roman" w:hAnsi="Times New Roman" w:cs="Times New Roman"/>
          <w:lang w:val="en-US" w:eastAsia="zh-CN"/>
        </w:rPr>
      </w:pPr>
    </w:p>
    <w:p w14:paraId="38B73FF1">
      <w:pPr>
        <w:pStyle w:val="4"/>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left="0" w:leftChars="0" w:right="0" w:righ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一、</w:t>
      </w:r>
      <w:r>
        <w:rPr>
          <w:rFonts w:hint="default" w:ascii="Times New Roman" w:hAnsi="Times New Roman" w:eastAsia="黑体" w:cs="Times New Roman"/>
          <w:b w:val="0"/>
          <w:bCs w:val="0"/>
          <w:sz w:val="32"/>
          <w:szCs w:val="32"/>
        </w:rPr>
        <w:t>项目概述</w:t>
      </w:r>
    </w:p>
    <w:p w14:paraId="2E93D507">
      <w:pPr>
        <w:pStyle w:val="10"/>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kern w:val="2"/>
          <w:sz w:val="32"/>
          <w:szCs w:val="32"/>
          <w:lang w:val="en-US" w:eastAsia="zh-CN" w:bidi="ar-SA"/>
        </w:rPr>
      </w:pPr>
      <w:bookmarkStart w:id="0" w:name="_Toc52118912"/>
      <w:r>
        <w:rPr>
          <w:rFonts w:hint="default" w:ascii="Times New Roman" w:hAnsi="Times New Roman" w:eastAsia="仿宋_GB2312" w:cs="Times New Roman"/>
          <w:kern w:val="2"/>
          <w:sz w:val="32"/>
          <w:szCs w:val="32"/>
          <w:lang w:val="en-US" w:eastAsia="zh-CN" w:bidi="ar-SA"/>
        </w:rPr>
        <w:t>福建省城市建设品质提升项目管理系统于2021年12月投入使用，该系统主要包括项目管理、项目展示、报表统计、系统管理等功能。通过跟踪各类项目实施进度，实时掌握各市县重点任务指标完成情况和各类项目资金投入情况，定期生成各类工作报表，考核城市更新工作的完成情况。</w:t>
      </w:r>
    </w:p>
    <w:p w14:paraId="2CFD186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随着福建省城市更新工作的深入推进，以及住建行业信息化发展的新要求，现有系统已难以满足实际工作需求。为进一步提升城市建设品质管理的精细化、智能化水平，落实《福建省城市更新工作实施意见》，亟需对现有系统进行升级改造。</w:t>
      </w:r>
    </w:p>
    <w:p w14:paraId="254BDA29">
      <w:pPr>
        <w:pStyle w:val="4"/>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left="0" w:leftChars="0" w:right="0" w:rightChars="0" w:firstLine="640" w:firstLineChars="200"/>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eastAsia="zh-CN"/>
        </w:rPr>
        <w:t>二、建设内容</w:t>
      </w:r>
    </w:p>
    <w:p w14:paraId="4556685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bookmarkStart w:id="1" w:name="_Hlk6322058"/>
      <w:bookmarkStart w:id="2" w:name="_Toc16148411"/>
      <w:r>
        <w:rPr>
          <w:rFonts w:hint="default" w:ascii="Times New Roman" w:hAnsi="Times New Roman" w:cs="Times New Roman"/>
          <w:sz w:val="32"/>
          <w:szCs w:val="32"/>
          <w:lang w:val="en-US" w:eastAsia="zh-CN"/>
        </w:rPr>
        <w:t>该</w:t>
      </w:r>
      <w:r>
        <w:rPr>
          <w:rFonts w:hint="default" w:ascii="Times New Roman" w:hAnsi="Times New Roman" w:eastAsia="仿宋_GB2312" w:cs="Times New Roman"/>
          <w:sz w:val="32"/>
          <w:szCs w:val="32"/>
          <w:lang w:val="en-US" w:eastAsia="zh-CN"/>
        </w:rPr>
        <w:t>项目是基于现有福建省城市建设品质提升项目管理系统进行升级改造，在开展原系统国产化适配改造的同时，</w:t>
      </w:r>
      <w:r>
        <w:rPr>
          <w:rFonts w:hint="default" w:ascii="Times New Roman" w:hAnsi="Times New Roman" w:cs="Times New Roman"/>
          <w:sz w:val="32"/>
          <w:szCs w:val="32"/>
          <w:lang w:val="en-US" w:eastAsia="zh-CN"/>
        </w:rPr>
        <w:t>需</w:t>
      </w:r>
      <w:r>
        <w:rPr>
          <w:rFonts w:hint="default" w:ascii="Times New Roman" w:hAnsi="Times New Roman" w:eastAsia="仿宋_GB2312" w:cs="Times New Roman"/>
          <w:sz w:val="32"/>
          <w:szCs w:val="32"/>
          <w:lang w:val="en-US" w:eastAsia="zh-CN"/>
        </w:rPr>
        <w:t>同步依据国产化建设相关规划、标准及要求，完成</w:t>
      </w:r>
      <w:r>
        <w:rPr>
          <w:rFonts w:hint="default" w:ascii="Times New Roman" w:hAnsi="Times New Roman" w:cs="Times New Roman"/>
          <w:sz w:val="32"/>
          <w:szCs w:val="32"/>
          <w:lang w:val="en-US" w:eastAsia="zh-CN"/>
        </w:rPr>
        <w:t>本项目</w:t>
      </w:r>
      <w:r>
        <w:rPr>
          <w:rFonts w:hint="default" w:ascii="Times New Roman" w:hAnsi="Times New Roman" w:eastAsia="仿宋_GB2312" w:cs="Times New Roman"/>
          <w:sz w:val="32"/>
          <w:szCs w:val="32"/>
          <w:lang w:val="en-US" w:eastAsia="zh-CN"/>
        </w:rPr>
        <w:t>的国产化适配工作。</w:t>
      </w:r>
    </w:p>
    <w:p w14:paraId="1828FBF9">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napToGrid/>
        <w:spacing w:beforeLines="0" w:afterLines="0" w:line="590" w:lineRule="exact"/>
        <w:ind w:left="0" w:leftChars="0" w:right="0" w:rightChars="0" w:firstLine="643" w:firstLineChars="200"/>
        <w:jc w:val="both"/>
        <w:textAlignment w:val="auto"/>
        <w:rPr>
          <w:rFonts w:hint="default" w:ascii="Times New Roman" w:hAnsi="Times New Roman" w:cs="Times New Roman"/>
          <w:sz w:val="32"/>
          <w:szCs w:val="32"/>
          <w:lang w:val="en-US" w:eastAsia="zh-CN"/>
        </w:rPr>
      </w:pPr>
      <w:bookmarkStart w:id="3" w:name="_Toc30683"/>
      <w:r>
        <w:rPr>
          <w:rFonts w:hint="default" w:ascii="Times New Roman" w:hAnsi="Times New Roman" w:cs="Times New Roman"/>
          <w:bCs/>
          <w:sz w:val="32"/>
          <w:szCs w:val="32"/>
          <w:lang w:val="en-US" w:eastAsia="zh-CN"/>
        </w:rPr>
        <w:t>1</w:t>
      </w:r>
      <w:bookmarkEnd w:id="3"/>
      <w:r>
        <w:rPr>
          <w:rFonts w:hint="default" w:ascii="Times New Roman" w:hAnsi="Times New Roman" w:cs="Times New Roman"/>
          <w:bCs/>
          <w:sz w:val="32"/>
          <w:szCs w:val="32"/>
          <w:lang w:val="en-US" w:eastAsia="zh-CN"/>
        </w:rPr>
        <w:t>．</w:t>
      </w:r>
      <w:r>
        <w:rPr>
          <w:rFonts w:hint="default" w:ascii="Times New Roman" w:hAnsi="Times New Roman" w:cs="Times New Roman"/>
          <w:sz w:val="32"/>
          <w:szCs w:val="32"/>
          <w:lang w:val="en-US" w:eastAsia="zh-CN"/>
        </w:rPr>
        <w:t>优化项目申报及进展管理</w:t>
      </w:r>
    </w:p>
    <w:p w14:paraId="245FE9C9">
      <w:pPr>
        <w:pStyle w:val="10"/>
        <w:keepNext w:val="0"/>
        <w:keepLines w:val="0"/>
        <w:pageBreakBefore w:val="0"/>
        <w:widowControl w:val="0"/>
        <w:kinsoku/>
        <w:wordWrap/>
        <w:overflowPunct/>
        <w:topLinePunct w:val="0"/>
        <w:autoSpaceDE/>
        <w:autoSpaceDN/>
        <w:bidi w:val="0"/>
        <w:adjustRightInd/>
        <w:snapToGrid/>
        <w:spacing w:line="590" w:lineRule="exact"/>
        <w:ind w:left="0" w:leftChars="0" w:right="0" w:rightChars="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紧密围绕《福建省城市更新工作实施意见》，对现有项目申报及进展管理模块进行全面优化。</w:t>
      </w:r>
    </w:p>
    <w:p w14:paraId="7B5647E9">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napToGrid/>
        <w:spacing w:beforeLines="0" w:afterLines="0" w:line="590" w:lineRule="exact"/>
        <w:ind w:left="0" w:leftChars="0" w:right="0" w:rightChars="0" w:firstLine="643" w:firstLineChars="200"/>
        <w:jc w:val="both"/>
        <w:textAlignment w:val="auto"/>
        <w:rPr>
          <w:rFonts w:hint="default" w:ascii="Times New Roman" w:hAnsi="Times New Roman" w:cs="Times New Roman"/>
          <w:bCs/>
          <w:sz w:val="32"/>
          <w:szCs w:val="32"/>
          <w:lang w:val="en-US" w:eastAsia="zh-CN"/>
        </w:rPr>
      </w:pPr>
      <w:r>
        <w:rPr>
          <w:rFonts w:hint="default" w:ascii="Times New Roman" w:hAnsi="Times New Roman" w:cs="Times New Roman"/>
          <w:bCs/>
          <w:sz w:val="32"/>
          <w:szCs w:val="32"/>
          <w:lang w:val="en-US" w:eastAsia="zh-CN"/>
        </w:rPr>
        <w:t>2．拓展项目申报类别</w:t>
      </w:r>
    </w:p>
    <w:p w14:paraId="3E232B55">
      <w:pPr>
        <w:pStyle w:val="10"/>
        <w:keepNext w:val="0"/>
        <w:keepLines w:val="0"/>
        <w:pageBreakBefore w:val="0"/>
        <w:widowControl w:val="0"/>
        <w:kinsoku/>
        <w:wordWrap/>
        <w:overflowPunct/>
        <w:topLinePunct w:val="0"/>
        <w:autoSpaceDE/>
        <w:autoSpaceDN/>
        <w:bidi w:val="0"/>
        <w:adjustRightInd/>
        <w:snapToGrid/>
        <w:spacing w:line="590" w:lineRule="exact"/>
        <w:ind w:left="0" w:leftChars="0" w:right="0" w:rightChars="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增加城建类、城管类、科技类、村镇类等项目申报、审核、入库功能。针对不同类型的项目，设计个性化的申报模板和审核标准。</w:t>
      </w:r>
    </w:p>
    <w:p w14:paraId="5099F060">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napToGrid/>
        <w:spacing w:beforeLines="0" w:afterLines="0" w:line="590" w:lineRule="exact"/>
        <w:ind w:left="0" w:leftChars="0" w:right="0" w:rightChars="0" w:firstLine="643" w:firstLineChars="200"/>
        <w:jc w:val="both"/>
        <w:textAlignment w:val="auto"/>
        <w:rPr>
          <w:rFonts w:hint="default" w:ascii="Times New Roman" w:hAnsi="Times New Roman" w:cs="Times New Roman"/>
          <w:bCs/>
          <w:sz w:val="32"/>
          <w:szCs w:val="32"/>
          <w:lang w:val="en-US" w:eastAsia="zh-CN"/>
        </w:rPr>
      </w:pPr>
      <w:r>
        <w:rPr>
          <w:rFonts w:hint="default" w:ascii="Times New Roman" w:hAnsi="Times New Roman" w:cs="Times New Roman"/>
          <w:bCs/>
          <w:sz w:val="32"/>
          <w:szCs w:val="32"/>
          <w:lang w:val="en-US" w:eastAsia="zh-CN"/>
        </w:rPr>
        <w:t>3．优化统计报表功能</w:t>
      </w:r>
    </w:p>
    <w:p w14:paraId="694E8F1A">
      <w:pPr>
        <w:pStyle w:val="10"/>
        <w:keepNext w:val="0"/>
        <w:keepLines w:val="0"/>
        <w:pageBreakBefore w:val="0"/>
        <w:widowControl w:val="0"/>
        <w:kinsoku/>
        <w:wordWrap/>
        <w:overflowPunct/>
        <w:topLinePunct w:val="0"/>
        <w:autoSpaceDE/>
        <w:autoSpaceDN/>
        <w:bidi w:val="0"/>
        <w:adjustRightInd/>
        <w:snapToGrid/>
        <w:spacing w:line="590" w:lineRule="exact"/>
        <w:ind w:left="0" w:leftChars="0" w:right="0" w:rightChars="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sz w:val="32"/>
          <w:szCs w:val="32"/>
          <w:lang w:val="en-US" w:eastAsia="zh-CN"/>
        </w:rPr>
        <w:t>新增城市类样板工程报表及城市“断头路”贯通工作情况表</w:t>
      </w:r>
      <w:r>
        <w:rPr>
          <w:rFonts w:hint="default" w:ascii="Times New Roman" w:hAnsi="Times New Roman" w:eastAsia="仿宋_GB2312" w:cs="Times New Roman"/>
          <w:kern w:val="2"/>
          <w:sz w:val="32"/>
          <w:szCs w:val="32"/>
          <w:lang w:val="en-US" w:eastAsia="zh-CN" w:bidi="ar-SA"/>
        </w:rPr>
        <w:t>，优化项目情况一览表。</w:t>
      </w:r>
    </w:p>
    <w:p w14:paraId="07AC0D4B">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napToGrid/>
        <w:spacing w:beforeLines="0" w:afterLines="0" w:line="590" w:lineRule="exact"/>
        <w:ind w:left="0" w:leftChars="0" w:right="0" w:rightChars="0" w:firstLine="643" w:firstLineChars="200"/>
        <w:jc w:val="both"/>
        <w:textAlignment w:val="auto"/>
        <w:rPr>
          <w:rFonts w:hint="default" w:ascii="Times New Roman" w:hAnsi="Times New Roman" w:cs="Times New Roman"/>
          <w:bCs/>
          <w:sz w:val="32"/>
          <w:szCs w:val="32"/>
          <w:lang w:val="en-US" w:eastAsia="zh-CN"/>
        </w:rPr>
      </w:pPr>
      <w:r>
        <w:rPr>
          <w:rFonts w:hint="default" w:ascii="Times New Roman" w:hAnsi="Times New Roman" w:cs="Times New Roman"/>
          <w:bCs/>
          <w:sz w:val="32"/>
          <w:szCs w:val="32"/>
          <w:lang w:val="en-US" w:eastAsia="zh-CN"/>
        </w:rPr>
        <w:t>4．实现与福建省住建行业运行监测系统对接及单点登录</w:t>
      </w:r>
    </w:p>
    <w:p w14:paraId="03C567F2">
      <w:pPr>
        <w:pStyle w:val="10"/>
        <w:keepNext w:val="0"/>
        <w:keepLines w:val="0"/>
        <w:pageBreakBefore w:val="0"/>
        <w:widowControl w:val="0"/>
        <w:kinsoku/>
        <w:wordWrap/>
        <w:overflowPunct/>
        <w:topLinePunct w:val="0"/>
        <w:autoSpaceDE/>
        <w:autoSpaceDN/>
        <w:bidi w:val="0"/>
        <w:adjustRightInd/>
        <w:snapToGrid/>
        <w:spacing w:line="590" w:lineRule="exact"/>
        <w:ind w:left="0" w:leftChars="0" w:right="0" w:rightChars="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sz w:val="32"/>
          <w:szCs w:val="32"/>
          <w:lang w:val="en-US" w:eastAsia="zh-CN"/>
        </w:rPr>
        <w:t>完成与福建省住建行业运行监测系统的对接，实现单点登录功能，并推送相关报表数据至</w:t>
      </w:r>
      <w:r>
        <w:rPr>
          <w:rFonts w:hint="default" w:ascii="Times New Roman" w:hAnsi="Times New Roman" w:cs="Times New Roman"/>
          <w:b w:val="0"/>
          <w:bCs/>
          <w:sz w:val="32"/>
          <w:szCs w:val="32"/>
          <w:lang w:val="en-US" w:eastAsia="zh-CN"/>
        </w:rPr>
        <w:t>监测系统</w:t>
      </w:r>
      <w:r>
        <w:rPr>
          <w:rFonts w:hint="default" w:ascii="Times New Roman" w:hAnsi="Times New Roman" w:eastAsia="仿宋_GB2312" w:cs="Times New Roman"/>
          <w:kern w:val="2"/>
          <w:sz w:val="32"/>
          <w:szCs w:val="32"/>
          <w:lang w:val="en-US" w:eastAsia="zh-CN" w:bidi="ar-SA"/>
        </w:rPr>
        <w:t>。</w:t>
      </w:r>
    </w:p>
    <w:p w14:paraId="20C3C600">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napToGrid/>
        <w:spacing w:beforeLines="0" w:afterLines="0" w:line="590" w:lineRule="exact"/>
        <w:ind w:left="0" w:leftChars="0" w:right="0" w:rightChars="0" w:firstLine="643" w:firstLineChars="200"/>
        <w:jc w:val="both"/>
        <w:textAlignment w:val="auto"/>
        <w:rPr>
          <w:rFonts w:hint="default" w:ascii="Times New Roman" w:hAnsi="Times New Roman" w:cs="Times New Roman"/>
          <w:bCs/>
          <w:sz w:val="32"/>
          <w:szCs w:val="32"/>
          <w:lang w:val="en-US" w:eastAsia="zh-CN"/>
        </w:rPr>
      </w:pPr>
      <w:bookmarkStart w:id="4" w:name="_Toc31116"/>
      <w:r>
        <w:rPr>
          <w:rFonts w:hint="default" w:ascii="Times New Roman" w:hAnsi="Times New Roman" w:cs="Times New Roman"/>
          <w:bCs/>
          <w:sz w:val="32"/>
          <w:szCs w:val="32"/>
          <w:lang w:val="en-US" w:eastAsia="zh-CN"/>
        </w:rPr>
        <w:t>5．支持闽政通登录认证</w:t>
      </w:r>
      <w:bookmarkEnd w:id="4"/>
    </w:p>
    <w:p w14:paraId="68AD2624">
      <w:pPr>
        <w:pStyle w:val="10"/>
        <w:keepNext w:val="0"/>
        <w:keepLines w:val="0"/>
        <w:pageBreakBefore w:val="0"/>
        <w:widowControl w:val="0"/>
        <w:kinsoku/>
        <w:wordWrap/>
        <w:overflowPunct/>
        <w:topLinePunct w:val="0"/>
        <w:autoSpaceDE/>
        <w:autoSpaceDN/>
        <w:bidi w:val="0"/>
        <w:adjustRightInd/>
        <w:snapToGrid/>
        <w:spacing w:line="590" w:lineRule="exact"/>
        <w:ind w:left="0" w:leftChars="0" w:right="0" w:right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val="en-US" w:eastAsia="zh-CN" w:bidi="ar-SA"/>
        </w:rPr>
        <w:t>对系统的用户认证模块进行改造，与福建省数字身份管理服务平台进行身份验证对接，实现闽政通登录功能。</w:t>
      </w:r>
    </w:p>
    <w:bookmarkEnd w:id="1"/>
    <w:bookmarkEnd w:id="2"/>
    <w:p w14:paraId="006F0431">
      <w:pPr>
        <w:pStyle w:val="4"/>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left="0" w:leftChars="0" w:right="0" w:rightChars="0"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三</w:t>
      </w:r>
      <w:r>
        <w:rPr>
          <w:rFonts w:hint="default" w:ascii="Times New Roman" w:hAnsi="Times New Roman" w:eastAsia="黑体" w:cs="Times New Roman"/>
          <w:b w:val="0"/>
          <w:bCs w:val="0"/>
          <w:sz w:val="32"/>
          <w:szCs w:val="32"/>
          <w:lang w:val="en-US" w:eastAsia="zh-CN"/>
        </w:rPr>
        <w:t>、</w:t>
      </w:r>
      <w:r>
        <w:rPr>
          <w:rFonts w:hint="default" w:ascii="Times New Roman" w:hAnsi="Times New Roman" w:eastAsia="黑体" w:cs="Times New Roman"/>
          <w:b w:val="0"/>
          <w:bCs w:val="0"/>
          <w:sz w:val="32"/>
          <w:szCs w:val="32"/>
          <w:lang w:eastAsia="zh-CN"/>
        </w:rPr>
        <w:t>功能设计</w:t>
      </w:r>
    </w:p>
    <w:bookmarkEnd w:id="0"/>
    <w:p w14:paraId="33317E93">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pacing w:beforeLines="0" w:afterLines="0" w:line="590" w:lineRule="exact"/>
        <w:ind w:left="0" w:leftChars="0" w:right="0" w:rightChars="0" w:firstLine="643" w:firstLineChars="200"/>
        <w:jc w:val="both"/>
        <w:textAlignment w:val="auto"/>
        <w:rPr>
          <w:rFonts w:hint="default" w:ascii="Times New Roman" w:hAnsi="Times New Roman" w:eastAsia="楷体_GB2312" w:cs="Times New Roman"/>
          <w:sz w:val="32"/>
          <w:szCs w:val="32"/>
          <w:lang w:val="en-US" w:eastAsia="zh-CN"/>
        </w:rPr>
      </w:pPr>
      <w:bookmarkStart w:id="5" w:name="_Toc1773"/>
      <w:r>
        <w:rPr>
          <w:rFonts w:hint="default" w:ascii="Times New Roman" w:hAnsi="Times New Roman" w:eastAsia="楷体_GB2312" w:cs="Times New Roman"/>
          <w:sz w:val="32"/>
          <w:szCs w:val="32"/>
          <w:lang w:val="en-US" w:eastAsia="zh-CN"/>
        </w:rPr>
        <w:t>（一）优化项目申报及进展管理</w:t>
      </w:r>
      <w:bookmarkEnd w:id="5"/>
    </w:p>
    <w:p w14:paraId="3CAC1B87">
      <w:pPr>
        <w:pStyle w:val="10"/>
        <w:keepNext w:val="0"/>
        <w:keepLines w:val="0"/>
        <w:pageBreakBefore w:val="0"/>
        <w:widowControl w:val="0"/>
        <w:kinsoku/>
        <w:wordWrap/>
        <w:overflowPunct/>
        <w:topLinePunct w:val="0"/>
        <w:autoSpaceDE/>
        <w:autoSpaceDN/>
        <w:bidi w:val="0"/>
        <w:adjustRightInd/>
        <w:spacing w:line="590" w:lineRule="exact"/>
        <w:ind w:left="0" w:leftChars="0" w:right="0" w:rightChars="0" w:firstLine="480"/>
        <w:jc w:val="both"/>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b w:val="0"/>
          <w:bCs/>
          <w:sz w:val="32"/>
          <w:szCs w:val="32"/>
          <w:lang w:val="en-US" w:eastAsia="zh-CN"/>
        </w:rPr>
        <w:t>紧密围绕《福建省城市更新工作实施意见》，对现有项目申报及进展管理模块进行全面优化。</w:t>
      </w:r>
    </w:p>
    <w:p w14:paraId="52783C0C">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napToGrid/>
        <w:spacing w:beforeLines="0" w:afterLines="0" w:line="590" w:lineRule="exact"/>
        <w:ind w:left="0" w:leftChars="0" w:right="0" w:rightChars="0" w:firstLine="643" w:firstLineChars="200"/>
        <w:jc w:val="both"/>
        <w:textAlignment w:val="auto"/>
        <w:rPr>
          <w:rFonts w:hint="default" w:ascii="Times New Roman" w:hAnsi="Times New Roman" w:cs="Times New Roman"/>
          <w:bCs/>
          <w:sz w:val="32"/>
          <w:szCs w:val="32"/>
          <w:lang w:val="en-US" w:eastAsia="zh-CN"/>
        </w:rPr>
      </w:pPr>
      <w:bookmarkStart w:id="6" w:name="_Toc25336"/>
      <w:bookmarkStart w:id="7" w:name="_Toc3193"/>
      <w:r>
        <w:rPr>
          <w:rFonts w:hint="default" w:ascii="Times New Roman" w:hAnsi="Times New Roman" w:cs="Times New Roman"/>
          <w:bCs/>
          <w:sz w:val="32"/>
          <w:szCs w:val="32"/>
          <w:lang w:val="en-US" w:eastAsia="zh-CN"/>
        </w:rPr>
        <w:t>1．优化项目申报</w:t>
      </w:r>
      <w:bookmarkEnd w:id="6"/>
      <w:r>
        <w:rPr>
          <w:rFonts w:hint="default" w:ascii="Times New Roman" w:hAnsi="Times New Roman" w:cs="Times New Roman"/>
          <w:bCs/>
          <w:sz w:val="32"/>
          <w:szCs w:val="32"/>
          <w:lang w:val="en-US" w:eastAsia="zh-CN"/>
        </w:rPr>
        <w:t>管理</w:t>
      </w:r>
      <w:bookmarkEnd w:id="7"/>
    </w:p>
    <w:p w14:paraId="2C26A4FB">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（1）项目申报基本信息改造</w:t>
      </w:r>
    </w:p>
    <w:p w14:paraId="044D043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在原有项目申报信息的基础上，新增</w:t>
      </w:r>
      <w:r>
        <w:rPr>
          <w:rFonts w:hint="default" w:ascii="Times New Roman" w:hAnsi="Times New Roman" w:eastAsia="仿宋_GB2312" w:cs="Times New Roman"/>
          <w:b w:val="0"/>
          <w:bCs/>
          <w:sz w:val="32"/>
          <w:szCs w:val="32"/>
          <w:lang w:val="en-US" w:eastAsia="zh-CN"/>
        </w:rPr>
        <w:t>项目投资分类、资金来源、是否使用奖补资金等</w:t>
      </w:r>
      <w:r>
        <w:rPr>
          <w:rFonts w:hint="default" w:ascii="Times New Roman" w:hAnsi="Times New Roman" w:eastAsia="仿宋_GB2312" w:cs="Times New Roman"/>
          <w:sz w:val="32"/>
          <w:szCs w:val="32"/>
          <w:lang w:val="en-US" w:eastAsia="zh-CN"/>
        </w:rPr>
        <w:t>核心字段。</w:t>
      </w:r>
    </w:p>
    <w:p w14:paraId="1595780E">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8" w:name="_Toc26359"/>
      <w:r>
        <w:rPr>
          <w:rFonts w:hint="default" w:ascii="Times New Roman" w:hAnsi="Times New Roman" w:eastAsia="仿宋_GB2312" w:cs="Times New Roman"/>
          <w:sz w:val="32"/>
          <w:szCs w:val="32"/>
          <w:lang w:val="en-US" w:eastAsia="zh-CN"/>
        </w:rPr>
        <w:t>（2）项目申报审核改造</w:t>
      </w:r>
      <w:bookmarkEnd w:id="8"/>
    </w:p>
    <w:p w14:paraId="0183E9BF">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①审核功能适配升级</w:t>
      </w:r>
    </w:p>
    <w:p w14:paraId="3904C52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sz w:val="32"/>
          <w:szCs w:val="32"/>
          <w:lang w:val="en-US" w:eastAsia="zh-CN"/>
        </w:rPr>
        <w:t>优化项目申报审核功能，展示符合最新要求的项目申报信息</w:t>
      </w:r>
      <w:r>
        <w:rPr>
          <w:rFonts w:hint="default" w:ascii="Times New Roman" w:hAnsi="Times New Roman" w:eastAsia="仿宋_GB2312" w:cs="Times New Roman"/>
          <w:b w:val="0"/>
          <w:bCs w:val="0"/>
          <w:kern w:val="2"/>
          <w:sz w:val="32"/>
          <w:szCs w:val="32"/>
          <w:lang w:val="en-US" w:eastAsia="zh-CN" w:bidi="ar-SA"/>
        </w:rPr>
        <w:t>，同时增加城建类、城管类、科技类、村镇类不同项目类型的审核功能，各类审核信息集中在一个页面上。</w:t>
      </w:r>
    </w:p>
    <w:p w14:paraId="455956C4">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②审核操作方式优化</w:t>
      </w:r>
    </w:p>
    <w:p w14:paraId="3038092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sz w:val="32"/>
          <w:szCs w:val="32"/>
          <w:lang w:val="en-US" w:eastAsia="zh-CN"/>
        </w:rPr>
        <w:t>在原有“审核通过”“审核驳回”功能基础上，新增‌审核人员直接修改申报内容后通过‌的操作权限</w:t>
      </w:r>
      <w:r>
        <w:rPr>
          <w:rFonts w:hint="default" w:ascii="Times New Roman" w:hAnsi="Times New Roman" w:eastAsia="仿宋_GB2312" w:cs="Times New Roman"/>
          <w:sz w:val="32"/>
          <w:szCs w:val="32"/>
          <w:lang w:val="en-US" w:eastAsia="zh-CN"/>
        </w:rPr>
        <w:t>。</w:t>
      </w:r>
    </w:p>
    <w:p w14:paraId="685DA81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新增批量审核功能，支持审核人员勾选多个同类型、同属地的申报项目，一键完成批量通过或批量驳回操作。</w:t>
      </w:r>
    </w:p>
    <w:p w14:paraId="3767C5E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所有审核操作全程留痕，系统自动记录审核人员ID、审核时间、修改内容前后对比、审核意见等全链路信息，同步归档至项目档案中。</w:t>
      </w:r>
    </w:p>
    <w:p w14:paraId="4EED01D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审核全流程支持随时撤回机制，审核人员可直接将流程撤回至申报人员，补充核验信息后再继续推进流转。</w:t>
      </w:r>
    </w:p>
    <w:p w14:paraId="28F9726A">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9" w:name="_Toc19860"/>
      <w:r>
        <w:rPr>
          <w:rFonts w:hint="default" w:ascii="Times New Roman" w:hAnsi="Times New Roman" w:eastAsia="仿宋_GB2312" w:cs="Times New Roman"/>
          <w:sz w:val="32"/>
          <w:szCs w:val="32"/>
          <w:lang w:val="en-US" w:eastAsia="zh-CN"/>
        </w:rPr>
        <w:t>（3）项目基础信息展示页面改造</w:t>
      </w:r>
      <w:bookmarkEnd w:id="9"/>
    </w:p>
    <w:p w14:paraId="2826B7B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①基础通用信息展示</w:t>
      </w:r>
    </w:p>
    <w:p w14:paraId="03A6642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新增展示项目投资分类、资金来源、是否使用奖补资金、奖补资金金额等核心字段。</w:t>
      </w:r>
    </w:p>
    <w:p w14:paraId="641C261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kern w:val="2"/>
          <w:sz w:val="32"/>
          <w:szCs w:val="32"/>
          <w:lang w:val="en-US" w:eastAsia="zh-CN" w:bidi="ar-SA"/>
        </w:rPr>
        <w:t>②</w:t>
      </w:r>
      <w:r>
        <w:rPr>
          <w:rFonts w:hint="default" w:ascii="Times New Roman" w:hAnsi="Times New Roman" w:eastAsia="仿宋_GB2312" w:cs="Times New Roman"/>
          <w:sz w:val="32"/>
          <w:szCs w:val="32"/>
          <w:lang w:val="en-US" w:eastAsia="zh-CN"/>
        </w:rPr>
        <w:t>多类型项目展示</w:t>
      </w:r>
    </w:p>
    <w:p w14:paraId="0B30AFC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新增城建类、城管类、科技类、村镇类四大类项目的展示功能。除了展示通用信息外，页面自动匹配对应领域的专属属性展示。</w:t>
      </w:r>
    </w:p>
    <w:p w14:paraId="5C102D2C">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10" w:name="_Toc26464"/>
      <w:r>
        <w:rPr>
          <w:rFonts w:hint="default" w:ascii="Times New Roman" w:hAnsi="Times New Roman" w:eastAsia="仿宋_GB2312" w:cs="Times New Roman"/>
          <w:sz w:val="32"/>
          <w:szCs w:val="32"/>
          <w:lang w:val="en-US" w:eastAsia="zh-CN"/>
        </w:rPr>
        <w:t>（4）项目提请修订页面改造</w:t>
      </w:r>
      <w:bookmarkEnd w:id="10"/>
    </w:p>
    <w:p w14:paraId="7E831D5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页面将根据当前项目的所属类型（村镇类/城建类/城管类/科技类）自动加载对应项目的全部基础信息字段，支持申请人针对任意字段发起修订申请，无需跳转多个页面操作。</w:t>
      </w:r>
    </w:p>
    <w:p w14:paraId="472B0C2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新增“原内容-新内容”双栏对比填报区域，申请人在新内容栏填写调整后的数值或内容，系统将自动生成前后内容的差异对照。</w:t>
      </w:r>
    </w:p>
    <w:p w14:paraId="0B3C978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实现“直接修订生效”的专属权限，直接在线完成内容修改并生效。</w:t>
      </w:r>
    </w:p>
    <w:p w14:paraId="7F034F9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所有提请修订的申请记录、审核意见、内容调整前后的差异对照，将自动同步归档至该项目档案中。</w:t>
      </w:r>
    </w:p>
    <w:p w14:paraId="5E8F23F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宋体" w:cs="Times New Roman"/>
          <w:sz w:val="32"/>
          <w:szCs w:val="32"/>
          <w:lang w:val="en-US" w:eastAsia="zh-CN"/>
        </w:rPr>
      </w:pPr>
      <w:r>
        <w:rPr>
          <w:rFonts w:hint="default" w:ascii="Times New Roman" w:hAnsi="Times New Roman" w:eastAsia="仿宋_GB2312" w:cs="Times New Roman"/>
          <w:sz w:val="32"/>
          <w:szCs w:val="32"/>
          <w:lang w:val="en-US" w:eastAsia="zh-CN"/>
        </w:rPr>
        <w:t>提请修订审核通过后，项目基础信息详情页将自动更新为最新的修订内容，同步更新对应项目的统计报表数据，同时自动同步关联至后续的进展填报等相关模块。</w:t>
      </w:r>
    </w:p>
    <w:p w14:paraId="3D625DF2">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11" w:name="_Toc14657"/>
      <w:r>
        <w:rPr>
          <w:rFonts w:hint="default" w:ascii="Times New Roman" w:hAnsi="Times New Roman" w:eastAsia="仿宋_GB2312" w:cs="Times New Roman"/>
          <w:sz w:val="32"/>
          <w:szCs w:val="32"/>
          <w:lang w:val="en-US" w:eastAsia="zh-CN"/>
        </w:rPr>
        <w:t>（5）我申报的项目页面改造</w:t>
      </w:r>
      <w:bookmarkEnd w:id="11"/>
    </w:p>
    <w:p w14:paraId="1347582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对原有项目列表、操作能力、信息展示等进行改造，打造一站式的申报用户专属工作台。</w:t>
      </w:r>
    </w:p>
    <w:p w14:paraId="69909EF9">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12" w:name="_Toc22892"/>
      <w:r>
        <w:rPr>
          <w:rFonts w:hint="default" w:ascii="Times New Roman" w:hAnsi="Times New Roman" w:eastAsia="仿宋_GB2312" w:cs="Times New Roman"/>
          <w:sz w:val="32"/>
          <w:szCs w:val="32"/>
          <w:lang w:val="en-US" w:eastAsia="zh-CN"/>
        </w:rPr>
        <w:t>2</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优化项目进展管理</w:t>
      </w:r>
      <w:bookmarkEnd w:id="12"/>
    </w:p>
    <w:p w14:paraId="3A4C66AE">
      <w:pPr>
        <w:pStyle w:val="7"/>
        <w:keepNext w:val="0"/>
        <w:keepLines w:val="0"/>
        <w:pageBreakBefore w:val="0"/>
        <w:widowControl w:val="0"/>
        <w:numPr>
          <w:ilvl w:val="2"/>
          <w:numId w:val="0"/>
        </w:numPr>
        <w:tabs>
          <w:tab w:val="clear" w:pos="425"/>
          <w:tab w:val="clear" w:pos="2126"/>
        </w:tabs>
        <w:kinsoku/>
        <w:wordWrap/>
        <w:overflowPunct/>
        <w:topLinePunct w:val="0"/>
        <w:autoSpaceDE/>
        <w:autoSpaceDN/>
        <w:bidi w:val="0"/>
        <w:adjustRightInd/>
        <w:snapToGrid/>
        <w:spacing w:beforeLines="0" w:afterLines="0" w:line="590" w:lineRule="exact"/>
        <w:ind w:left="0" w:leftChars="0" w:right="0" w:rightChars="0" w:firstLine="643" w:firstLineChars="200"/>
        <w:jc w:val="both"/>
        <w:textAlignment w:val="auto"/>
        <w:rPr>
          <w:rFonts w:hint="default" w:ascii="Times New Roman" w:hAnsi="Times New Roman" w:cs="Times New Roman"/>
          <w:sz w:val="32"/>
          <w:szCs w:val="32"/>
          <w:lang w:val="en-US" w:eastAsia="zh-CN"/>
        </w:rPr>
      </w:pPr>
      <w:bookmarkStart w:id="13" w:name="_Toc2373"/>
      <w:bookmarkStart w:id="14" w:name="_Toc30143"/>
      <w:r>
        <w:rPr>
          <w:rFonts w:hint="default" w:ascii="Times New Roman" w:hAnsi="Times New Roman" w:eastAsia="仿宋_GB2312" w:cs="Times New Roman"/>
          <w:b/>
          <w:bCs/>
          <w:kern w:val="2"/>
          <w:sz w:val="32"/>
          <w:szCs w:val="32"/>
          <w:lang w:val="en-US" w:eastAsia="zh-CN" w:bidi="ar-SA"/>
        </w:rPr>
        <w:t>（1）进展填报内容新增</w:t>
      </w:r>
      <w:r>
        <w:rPr>
          <w:rFonts w:hint="default" w:ascii="Times New Roman" w:hAnsi="Times New Roman" w:cs="Times New Roman"/>
          <w:sz w:val="32"/>
          <w:szCs w:val="32"/>
          <w:lang w:val="en-US" w:eastAsia="zh-CN"/>
        </w:rPr>
        <w:t>‌</w:t>
      </w:r>
      <w:bookmarkEnd w:id="13"/>
      <w:bookmarkEnd w:id="14"/>
    </w:p>
    <w:p w14:paraId="1BD89DB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在每月项目进展填报中，新增‌奖补支付情况信息项，用于统计当月奖补资金的支付金额、支付进度等信息。</w:t>
      </w:r>
    </w:p>
    <w:p w14:paraId="200EDB5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15" w:name="_Toc22530"/>
      <w:r>
        <w:rPr>
          <w:rFonts w:hint="default" w:ascii="Times New Roman" w:hAnsi="Times New Roman" w:eastAsia="仿宋_GB2312" w:cs="Times New Roman"/>
          <w:b/>
          <w:bCs/>
          <w:kern w:val="2"/>
          <w:sz w:val="32"/>
          <w:szCs w:val="32"/>
          <w:lang w:val="en-US" w:eastAsia="zh-CN" w:bidi="ar-SA"/>
        </w:rPr>
        <w:t>（2）‌凭证上传及数据校验</w:t>
      </w:r>
      <w:r>
        <w:rPr>
          <w:rFonts w:hint="default" w:ascii="Times New Roman" w:hAnsi="Times New Roman" w:eastAsia="仿宋_GB2312" w:cs="Times New Roman"/>
          <w:sz w:val="32"/>
          <w:szCs w:val="32"/>
          <w:lang w:val="en-US" w:eastAsia="zh-CN"/>
        </w:rPr>
        <w:t>‌</w:t>
      </w:r>
      <w:bookmarkEnd w:id="15"/>
    </w:p>
    <w:p w14:paraId="6A48DC7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上传‌支付凭证</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系统自动校验奖补支付情况与项目投资完成进度、资金计划的匹配性，若支付金额与进度不符，将触发预警提示。</w:t>
      </w:r>
    </w:p>
    <w:p w14:paraId="5EF34DB9">
      <w:pPr>
        <w:pStyle w:val="7"/>
        <w:keepNext w:val="0"/>
        <w:keepLines w:val="0"/>
        <w:pageBreakBefore w:val="0"/>
        <w:widowControl w:val="0"/>
        <w:numPr>
          <w:ilvl w:val="2"/>
          <w:numId w:val="0"/>
        </w:numPr>
        <w:tabs>
          <w:tab w:val="clear" w:pos="425"/>
          <w:tab w:val="clear" w:pos="2126"/>
        </w:tabs>
        <w:kinsoku/>
        <w:wordWrap/>
        <w:overflowPunct/>
        <w:topLinePunct w:val="0"/>
        <w:autoSpaceDE/>
        <w:autoSpaceDN/>
        <w:bidi w:val="0"/>
        <w:adjustRightInd/>
        <w:snapToGrid/>
        <w:spacing w:beforeLines="0" w:afterLines="0" w:line="590" w:lineRule="exact"/>
        <w:ind w:left="0" w:leftChars="0" w:right="0" w:rightChars="0" w:firstLine="643" w:firstLineChars="200"/>
        <w:jc w:val="both"/>
        <w:textAlignment w:val="auto"/>
        <w:rPr>
          <w:rFonts w:hint="default" w:ascii="Times New Roman" w:hAnsi="Times New Roman" w:cs="Times New Roman" w:eastAsiaTheme="minorEastAsia"/>
          <w:b/>
          <w:bCs/>
          <w:kern w:val="2"/>
          <w:sz w:val="32"/>
          <w:szCs w:val="32"/>
          <w:lang w:val="en-US" w:eastAsia="zh-CN" w:bidi="ar-SA"/>
        </w:rPr>
      </w:pPr>
      <w:bookmarkStart w:id="16" w:name="_Toc878"/>
      <w:bookmarkStart w:id="17" w:name="_Toc19995"/>
      <w:r>
        <w:rPr>
          <w:rFonts w:hint="default" w:ascii="Times New Roman" w:hAnsi="Times New Roman" w:eastAsia="仿宋_GB2312" w:cs="Times New Roman"/>
          <w:b/>
          <w:bCs/>
          <w:kern w:val="2"/>
          <w:sz w:val="32"/>
          <w:szCs w:val="32"/>
          <w:lang w:val="en-US" w:eastAsia="zh-CN" w:bidi="ar-SA"/>
        </w:rPr>
        <w:t>（3）</w:t>
      </w:r>
      <w:r>
        <w:rPr>
          <w:rFonts w:hint="eastAsia" w:ascii="仿宋_GB2312" w:hAnsi="仿宋_GB2312" w:eastAsia="仿宋_GB2312" w:cs="仿宋_GB2312"/>
          <w:b/>
          <w:bCs/>
          <w:kern w:val="2"/>
          <w:sz w:val="32"/>
          <w:szCs w:val="32"/>
          <w:lang w:val="en-US" w:eastAsia="zh-CN" w:bidi="ar-SA"/>
        </w:rPr>
        <w:t>进展填报改造</w:t>
      </w:r>
      <w:bookmarkEnd w:id="16"/>
      <w:bookmarkEnd w:id="17"/>
    </w:p>
    <w:p w14:paraId="45CCD17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①构建项目类型-年度目标标签体系，开发基于项目类型的智能匹配引擎，自动识别项目对应的标签体系，并从系统数据库中调取与之匹配的年度目标内容，实时生成个性化的进展填报页面。</w:t>
      </w:r>
    </w:p>
    <w:p w14:paraId="0334D23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②新增城建类、城管类、科技类及村镇类项目进展填报管理，系统根据所属项目类型智能匹配其年度目标，提供月度进度填报功能，并自动计算指标累计完成总量及年度计划完成率等。</w:t>
      </w:r>
    </w:p>
    <w:p w14:paraId="4EF6812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sz w:val="32"/>
          <w:szCs w:val="32"/>
          <w:lang w:val="en-US" w:eastAsia="zh-CN"/>
        </w:rPr>
        <w:t>③新增城市“断头路”贯通项目进展填报管理，重点设置核心信息“项目进展状态”、“需要协调的事项”‌。其中项目进展状态设置前期、开工、通车、竣工4个固定选项，并配套联动</w:t>
      </w:r>
      <w:r>
        <w:rPr>
          <w:rFonts w:hint="default" w:ascii="Times New Roman" w:hAnsi="Times New Roman" w:cs="Times New Roman"/>
          <w:sz w:val="32"/>
          <w:szCs w:val="32"/>
          <w:lang w:val="en-US" w:eastAsia="zh-CN"/>
        </w:rPr>
        <w:t>填报</w:t>
      </w:r>
      <w:r>
        <w:rPr>
          <w:rFonts w:hint="default" w:ascii="Times New Roman" w:hAnsi="Times New Roman" w:eastAsia="仿宋_GB2312" w:cs="Times New Roman"/>
          <w:sz w:val="32"/>
          <w:szCs w:val="32"/>
          <w:lang w:val="en-US" w:eastAsia="zh-CN"/>
        </w:rPr>
        <w:t>规则</w:t>
      </w:r>
      <w:r>
        <w:rPr>
          <w:rFonts w:hint="default" w:ascii="Times New Roman" w:hAnsi="Times New Roman" w:eastAsia="仿宋_GB2312" w:cs="Times New Roman"/>
          <w:b w:val="0"/>
          <w:bCs w:val="0"/>
          <w:kern w:val="2"/>
          <w:sz w:val="32"/>
          <w:szCs w:val="32"/>
          <w:lang w:val="en-US" w:eastAsia="zh-CN" w:bidi="ar-SA"/>
        </w:rPr>
        <w:t>。</w:t>
      </w:r>
    </w:p>
    <w:p w14:paraId="07B9577B">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pacing w:beforeLines="0" w:afterLines="0" w:line="590" w:lineRule="exact"/>
        <w:ind w:left="0" w:leftChars="0" w:right="0" w:rightChars="0" w:firstLine="640" w:firstLineChars="200"/>
        <w:jc w:val="both"/>
        <w:textAlignment w:val="auto"/>
        <w:rPr>
          <w:rFonts w:hint="default" w:ascii="Times New Roman" w:hAnsi="Times New Roman"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项目状态字段为不可填状态，通过填写的项目进展状态进行关联，同时同步更新到基础信息表的项目状态字段</w:t>
      </w:r>
      <w:bookmarkStart w:id="18" w:name="_Toc11736"/>
      <w:r>
        <w:rPr>
          <w:rFonts w:hint="default" w:ascii="Times New Roman" w:hAnsi="Times New Roman" w:cs="Times New Roman"/>
          <w:b w:val="0"/>
          <w:bCs w:val="0"/>
          <w:kern w:val="2"/>
          <w:sz w:val="32"/>
          <w:szCs w:val="32"/>
          <w:lang w:val="en-US" w:eastAsia="zh-CN" w:bidi="ar-SA"/>
        </w:rPr>
        <w:t>。</w:t>
      </w:r>
    </w:p>
    <w:p w14:paraId="15DEC5AF">
      <w:pPr>
        <w:pStyle w:val="5"/>
        <w:keepNext w:val="0"/>
        <w:keepLines w:val="0"/>
        <w:pageBreakBefore w:val="0"/>
        <w:widowControl w:val="0"/>
        <w:numPr>
          <w:ilvl w:val="1"/>
          <w:numId w:val="0"/>
        </w:numPr>
        <w:tabs>
          <w:tab w:val="clear" w:pos="425"/>
        </w:tabs>
        <w:kinsoku/>
        <w:wordWrap/>
        <w:overflowPunct/>
        <w:topLinePunct w:val="0"/>
        <w:autoSpaceDE/>
        <w:autoSpaceDN/>
        <w:bidi w:val="0"/>
        <w:adjustRightInd/>
        <w:spacing w:beforeLines="0" w:afterLines="0" w:line="590" w:lineRule="exact"/>
        <w:ind w:left="0" w:leftChars="0" w:right="0" w:rightChars="0" w:firstLine="643"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（二）拓展项目申报类别</w:t>
      </w:r>
      <w:bookmarkEnd w:id="18"/>
    </w:p>
    <w:p w14:paraId="2E6A372F">
      <w:pPr>
        <w:pStyle w:val="9"/>
        <w:keepNext w:val="0"/>
        <w:keepLines w:val="0"/>
        <w:pageBreakBefore w:val="0"/>
        <w:widowControl w:val="0"/>
        <w:kinsoku/>
        <w:wordWrap/>
        <w:overflowPunct/>
        <w:topLinePunct w:val="0"/>
        <w:autoSpaceDE/>
        <w:autoSpaceDN/>
        <w:bidi w:val="0"/>
        <w:adjustRightInd/>
        <w:spacing w:before="0" w:beforeLines="0" w:after="0" w:afterLines="0" w:line="590" w:lineRule="exact"/>
        <w:ind w:left="0" w:leftChars="0" w:right="0" w:rightChars="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sz w:val="32"/>
          <w:szCs w:val="32"/>
          <w:lang w:val="en-US" w:eastAsia="zh-CN"/>
        </w:rPr>
        <w:t>增加城建类、城管类、科技类、村镇类等项目申报、审核、入库功能。针对不同类型的项目，设计个性化的申报模板和审核标准。</w:t>
      </w:r>
    </w:p>
    <w:p w14:paraId="51A5EF50">
      <w:pPr>
        <w:pStyle w:val="8"/>
        <w:keepNext w:val="0"/>
        <w:keepLines w:val="0"/>
        <w:pageBreakBefore w:val="0"/>
        <w:widowControl w:val="0"/>
        <w:numPr>
          <w:ilvl w:val="3"/>
          <w:numId w:val="0"/>
        </w:numPr>
        <w:kinsoku/>
        <w:wordWrap/>
        <w:overflowPunct/>
        <w:topLinePunct w:val="0"/>
        <w:autoSpaceDE/>
        <w:autoSpaceDN/>
        <w:bidi w:val="0"/>
        <w:adjustRightInd/>
        <w:spacing w:before="0" w:after="0"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19" w:name="_Toc484"/>
      <w:bookmarkStart w:id="20" w:name="_Toc18590"/>
      <w:bookmarkStart w:id="21" w:name="_Toc32245"/>
      <w:r>
        <w:rPr>
          <w:rFonts w:hint="default" w:ascii="Times New Roman" w:hAnsi="Times New Roman" w:eastAsia="仿宋_GB2312" w:cs="Times New Roman"/>
          <w:sz w:val="32"/>
          <w:szCs w:val="32"/>
          <w:lang w:val="en-US" w:eastAsia="zh-CN"/>
        </w:rPr>
        <w:t>1</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增加城建类项目类型</w:t>
      </w:r>
      <w:bookmarkEnd w:id="19"/>
      <w:bookmarkEnd w:id="20"/>
    </w:p>
    <w:p w14:paraId="64615FDC">
      <w:pPr>
        <w:keepNext w:val="0"/>
        <w:keepLines w:val="0"/>
        <w:pageBreakBefore w:val="0"/>
        <w:widowControl w:val="0"/>
        <w:kinsoku/>
        <w:wordWrap/>
        <w:overflowPunct/>
        <w:topLinePunct w:val="0"/>
        <w:autoSpaceDE/>
        <w:autoSpaceDN/>
        <w:bidi w:val="0"/>
        <w:adjustRightInd/>
        <w:spacing w:line="590" w:lineRule="exact"/>
        <w:ind w:left="0" w:leftChars="0" w:right="0" w:rightChars="0"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b w:val="0"/>
          <w:bCs/>
          <w:kern w:val="2"/>
          <w:sz w:val="32"/>
          <w:szCs w:val="32"/>
          <w:lang w:val="en-US" w:eastAsia="zh-CN" w:bidi="ar-SA"/>
        </w:rPr>
        <w:t>城建类项目类型包含推进城镇老旧小区改造与城中村改造、开展完整社区建设、推进老旧街区更新改造、加强城市基础设施建设改造、修复城市生态系统、典型样板工程建设任务，申报采用“基础信息+分类目标”双层体系：先统一填报项目名称、项目状态、项目类型、项目分类、项目地址、项目属地、建设内容与规模、项目总投资、是否续建、建设单位、累计完成投资</w:t>
      </w:r>
      <w:r>
        <w:rPr>
          <w:rFonts w:hint="eastAsia"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至上年12月底</w:t>
      </w:r>
      <w:r>
        <w:rPr>
          <w:rFonts w:hint="eastAsia"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、计划开工时间、计划完工时间等基础信息，系统再根据项目类型自动匹配对应年度目标填报模块。具体如下：</w:t>
      </w:r>
    </w:p>
    <w:tbl>
      <w:tblPr>
        <w:tblStyle w:val="15"/>
        <w:tblW w:w="9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3"/>
        <w:gridCol w:w="1846"/>
        <w:gridCol w:w="1514"/>
        <w:gridCol w:w="1470"/>
        <w:gridCol w:w="3105"/>
      </w:tblGrid>
      <w:tr w14:paraId="7578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Align w:val="center"/>
          </w:tcPr>
          <w:p w14:paraId="4737DCD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一级类别</w:t>
            </w:r>
          </w:p>
        </w:tc>
        <w:tc>
          <w:tcPr>
            <w:tcW w:w="1846" w:type="dxa"/>
            <w:vAlign w:val="center"/>
          </w:tcPr>
          <w:p w14:paraId="4CC90D36">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二级类别</w:t>
            </w:r>
          </w:p>
        </w:tc>
        <w:tc>
          <w:tcPr>
            <w:tcW w:w="1514" w:type="dxa"/>
            <w:vAlign w:val="center"/>
          </w:tcPr>
          <w:p w14:paraId="627F249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三级类别</w:t>
            </w:r>
          </w:p>
        </w:tc>
        <w:tc>
          <w:tcPr>
            <w:tcW w:w="1470" w:type="dxa"/>
            <w:vAlign w:val="center"/>
          </w:tcPr>
          <w:p w14:paraId="27370C3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四级类别</w:t>
            </w:r>
          </w:p>
        </w:tc>
        <w:tc>
          <w:tcPr>
            <w:tcW w:w="3105" w:type="dxa"/>
            <w:vAlign w:val="center"/>
          </w:tcPr>
          <w:p w14:paraId="7F31ADC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年度目标</w:t>
            </w:r>
          </w:p>
        </w:tc>
      </w:tr>
      <w:tr w14:paraId="62D8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restart"/>
            <w:vAlign w:val="center"/>
          </w:tcPr>
          <w:p w14:paraId="1ED15D6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推进城镇老旧小区改造与城中村改造</w:t>
            </w:r>
          </w:p>
        </w:tc>
        <w:tc>
          <w:tcPr>
            <w:tcW w:w="1846" w:type="dxa"/>
            <w:vMerge w:val="restart"/>
            <w:vAlign w:val="center"/>
          </w:tcPr>
          <w:p w14:paraId="01657F6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开展老旧小区</w:t>
            </w:r>
          </w:p>
          <w:p w14:paraId="5975C2B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改造</w:t>
            </w:r>
          </w:p>
        </w:tc>
        <w:tc>
          <w:tcPr>
            <w:tcW w:w="1514" w:type="dxa"/>
            <w:vMerge w:val="restart"/>
            <w:vAlign w:val="center"/>
          </w:tcPr>
          <w:p w14:paraId="6539BF1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老旧小区改造</w:t>
            </w:r>
          </w:p>
        </w:tc>
        <w:tc>
          <w:tcPr>
            <w:tcW w:w="1470" w:type="dxa"/>
            <w:vAlign w:val="center"/>
          </w:tcPr>
          <w:p w14:paraId="45760C5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2000年以前建成小区</w:t>
            </w:r>
          </w:p>
        </w:tc>
        <w:tc>
          <w:tcPr>
            <w:tcW w:w="3105" w:type="dxa"/>
            <w:vAlign w:val="center"/>
          </w:tcPr>
          <w:p w14:paraId="69A530F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开工改造老旧小区（  ）万户</w:t>
            </w:r>
          </w:p>
          <w:p w14:paraId="10AD4B0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完成改造老旧小区（  ）万户</w:t>
            </w:r>
          </w:p>
        </w:tc>
      </w:tr>
      <w:tr w14:paraId="10EF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continue"/>
            <w:vAlign w:val="center"/>
          </w:tcPr>
          <w:p w14:paraId="0E9D193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846" w:type="dxa"/>
            <w:vMerge w:val="continue"/>
            <w:vAlign w:val="center"/>
          </w:tcPr>
          <w:p w14:paraId="58838F7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514" w:type="dxa"/>
            <w:vMerge w:val="continue"/>
            <w:vAlign w:val="center"/>
          </w:tcPr>
          <w:p w14:paraId="3B0C10A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470" w:type="dxa"/>
            <w:vAlign w:val="center"/>
          </w:tcPr>
          <w:p w14:paraId="5E233E9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2000年以后建成小区</w:t>
            </w:r>
          </w:p>
        </w:tc>
        <w:tc>
          <w:tcPr>
            <w:tcW w:w="3105" w:type="dxa"/>
            <w:vAlign w:val="center"/>
          </w:tcPr>
          <w:p w14:paraId="28DE75F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开工改造老旧小区（  ）万户</w:t>
            </w:r>
          </w:p>
          <w:p w14:paraId="15A8B55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完成改造老旧小区（  ）万户</w:t>
            </w:r>
          </w:p>
        </w:tc>
      </w:tr>
      <w:tr w14:paraId="1B40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Align w:val="center"/>
          </w:tcPr>
          <w:p w14:paraId="1D7FF71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开展完整社区建设</w:t>
            </w:r>
          </w:p>
        </w:tc>
        <w:tc>
          <w:tcPr>
            <w:tcW w:w="1846" w:type="dxa"/>
            <w:vAlign w:val="center"/>
          </w:tcPr>
          <w:p w14:paraId="2B4EF73E">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补齐既有社区</w:t>
            </w:r>
          </w:p>
          <w:p w14:paraId="64AE114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功能短板</w:t>
            </w:r>
          </w:p>
        </w:tc>
        <w:tc>
          <w:tcPr>
            <w:tcW w:w="1514" w:type="dxa"/>
            <w:vAlign w:val="center"/>
          </w:tcPr>
          <w:p w14:paraId="295DD8A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470" w:type="dxa"/>
          </w:tcPr>
          <w:p w14:paraId="65C0B2D3">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tcPr>
          <w:p w14:paraId="7F90101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r>
      <w:tr w14:paraId="2DCC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restart"/>
            <w:vAlign w:val="center"/>
          </w:tcPr>
          <w:p w14:paraId="0A362E8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推进老旧街区更新改造</w:t>
            </w:r>
          </w:p>
        </w:tc>
        <w:tc>
          <w:tcPr>
            <w:tcW w:w="1846" w:type="dxa"/>
            <w:vAlign w:val="center"/>
          </w:tcPr>
          <w:p w14:paraId="2B060D5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推进老旧厂房</w:t>
            </w:r>
          </w:p>
          <w:p w14:paraId="63D107B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厂区功能转换</w:t>
            </w:r>
          </w:p>
        </w:tc>
        <w:tc>
          <w:tcPr>
            <w:tcW w:w="1514" w:type="dxa"/>
            <w:vAlign w:val="center"/>
          </w:tcPr>
          <w:p w14:paraId="18E1535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老旧厂房厂区更新改造</w:t>
            </w:r>
          </w:p>
        </w:tc>
        <w:tc>
          <w:tcPr>
            <w:tcW w:w="1470" w:type="dxa"/>
          </w:tcPr>
          <w:p w14:paraId="2F99F2A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tcPr>
          <w:p w14:paraId="7DD77E0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更新改造老旧厂区</w:t>
            </w:r>
            <w:r>
              <w:rPr>
                <w:rFonts w:hint="default" w:ascii="Times New Roman" w:hAnsi="Times New Roman" w:eastAsia="仿宋_GB2312" w:cs="Times New Roman"/>
                <w:b w:val="0"/>
                <w:bCs/>
                <w:i w:val="0"/>
                <w:iCs w:val="0"/>
                <w:color w:val="000000"/>
                <w:kern w:val="0"/>
                <w:sz w:val="21"/>
                <w:szCs w:val="21"/>
                <w:u w:val="none"/>
                <w:lang w:val="en-US" w:eastAsia="zh-CN" w:bidi="ar"/>
              </w:rPr>
              <w:t>（  ）</w:t>
            </w:r>
            <w:r>
              <w:rPr>
                <w:rFonts w:hint="default" w:ascii="Times New Roman" w:hAnsi="Times New Roman" w:eastAsia="仿宋_GB2312" w:cs="Times New Roman"/>
                <w:b w:val="0"/>
                <w:bCs/>
                <w:sz w:val="21"/>
                <w:szCs w:val="21"/>
                <w:vertAlign w:val="baseline"/>
                <w:lang w:val="en-US" w:eastAsia="zh-CN"/>
              </w:rPr>
              <w:t>个</w:t>
            </w:r>
          </w:p>
          <w:p w14:paraId="2E43631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更新改造老旧厂房</w:t>
            </w:r>
            <w:r>
              <w:rPr>
                <w:rFonts w:hint="default" w:ascii="Times New Roman" w:hAnsi="Times New Roman" w:eastAsia="仿宋_GB2312" w:cs="Times New Roman"/>
                <w:b w:val="0"/>
                <w:bCs/>
                <w:i w:val="0"/>
                <w:iCs w:val="0"/>
                <w:color w:val="000000"/>
                <w:kern w:val="0"/>
                <w:sz w:val="21"/>
                <w:szCs w:val="21"/>
                <w:u w:val="none"/>
                <w:lang w:val="en-US" w:eastAsia="zh-CN" w:bidi="ar"/>
              </w:rPr>
              <w:t>（  ）</w:t>
            </w:r>
            <w:r>
              <w:rPr>
                <w:rFonts w:hint="default" w:ascii="Times New Roman" w:hAnsi="Times New Roman" w:eastAsia="仿宋_GB2312" w:cs="Times New Roman"/>
                <w:b w:val="0"/>
                <w:bCs/>
                <w:sz w:val="21"/>
                <w:szCs w:val="21"/>
                <w:vertAlign w:val="baseline"/>
                <w:lang w:val="en-US" w:eastAsia="zh-CN"/>
              </w:rPr>
              <w:t>个</w:t>
            </w:r>
          </w:p>
          <w:p w14:paraId="0BD44C96">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更新改造老旧厂房厂区建筑面积</w:t>
            </w:r>
            <w:r>
              <w:rPr>
                <w:rFonts w:hint="default" w:ascii="Times New Roman" w:hAnsi="Times New Roman" w:eastAsia="仿宋_GB2312" w:cs="Times New Roman"/>
                <w:b w:val="0"/>
                <w:bCs/>
                <w:i w:val="0"/>
                <w:iCs w:val="0"/>
                <w:color w:val="000000"/>
                <w:kern w:val="0"/>
                <w:sz w:val="21"/>
                <w:szCs w:val="21"/>
                <w:u w:val="none"/>
                <w:lang w:val="en-US" w:eastAsia="zh-CN" w:bidi="ar"/>
              </w:rPr>
              <w:t>（  ）</w:t>
            </w:r>
            <w:r>
              <w:rPr>
                <w:rFonts w:hint="default" w:ascii="Times New Roman" w:hAnsi="Times New Roman" w:eastAsia="仿宋_GB2312" w:cs="Times New Roman"/>
                <w:b w:val="0"/>
                <w:bCs/>
                <w:sz w:val="21"/>
                <w:szCs w:val="21"/>
                <w:vertAlign w:val="baseline"/>
                <w:lang w:val="en-US" w:eastAsia="zh-CN"/>
              </w:rPr>
              <w:t>㎡</w:t>
            </w:r>
          </w:p>
        </w:tc>
      </w:tr>
      <w:tr w14:paraId="7A86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continue"/>
            <w:vAlign w:val="center"/>
          </w:tcPr>
          <w:p w14:paraId="697C402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846" w:type="dxa"/>
            <w:vAlign w:val="center"/>
          </w:tcPr>
          <w:p w14:paraId="0933B69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推进老旧街区业态升级活力提升</w:t>
            </w:r>
          </w:p>
        </w:tc>
        <w:tc>
          <w:tcPr>
            <w:tcW w:w="1514" w:type="dxa"/>
            <w:vAlign w:val="center"/>
          </w:tcPr>
          <w:p w14:paraId="32A485B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老旧街区更新改造</w:t>
            </w:r>
          </w:p>
        </w:tc>
        <w:tc>
          <w:tcPr>
            <w:tcW w:w="1470" w:type="dxa"/>
          </w:tcPr>
          <w:p w14:paraId="5DC8805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tcPr>
          <w:p w14:paraId="404CEB75">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更新改造老旧街区</w:t>
            </w:r>
            <w:r>
              <w:rPr>
                <w:rFonts w:hint="default" w:ascii="Times New Roman" w:hAnsi="Times New Roman" w:eastAsia="仿宋_GB2312" w:cs="Times New Roman"/>
                <w:b w:val="0"/>
                <w:bCs/>
                <w:i w:val="0"/>
                <w:iCs w:val="0"/>
                <w:color w:val="000000"/>
                <w:kern w:val="0"/>
                <w:sz w:val="21"/>
                <w:szCs w:val="21"/>
                <w:u w:val="none"/>
                <w:lang w:val="en-US" w:eastAsia="zh-CN" w:bidi="ar"/>
              </w:rPr>
              <w:t>（  ）</w:t>
            </w:r>
            <w:r>
              <w:rPr>
                <w:rFonts w:hint="default" w:ascii="Times New Roman" w:hAnsi="Times New Roman" w:eastAsia="仿宋_GB2312" w:cs="Times New Roman"/>
                <w:b w:val="0"/>
                <w:bCs/>
                <w:sz w:val="21"/>
                <w:szCs w:val="21"/>
                <w:vertAlign w:val="baseline"/>
                <w:lang w:val="en-US" w:eastAsia="zh-CN"/>
              </w:rPr>
              <w:t>条</w:t>
            </w:r>
          </w:p>
          <w:p w14:paraId="2376759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更新改造老旧街区建筑面积</w:t>
            </w:r>
            <w:r>
              <w:rPr>
                <w:rFonts w:hint="default" w:ascii="Times New Roman" w:hAnsi="Times New Roman" w:eastAsia="仿宋_GB2312" w:cs="Times New Roman"/>
                <w:b w:val="0"/>
                <w:bCs/>
                <w:i w:val="0"/>
                <w:iCs w:val="0"/>
                <w:color w:val="000000"/>
                <w:kern w:val="0"/>
                <w:sz w:val="21"/>
                <w:szCs w:val="21"/>
                <w:u w:val="none"/>
                <w:lang w:val="en-US" w:eastAsia="zh-CN" w:bidi="ar"/>
              </w:rPr>
              <w:t>（  ）</w:t>
            </w:r>
            <w:r>
              <w:rPr>
                <w:rFonts w:hint="default" w:ascii="Times New Roman" w:hAnsi="Times New Roman" w:eastAsia="仿宋_GB2312" w:cs="Times New Roman"/>
                <w:b w:val="0"/>
                <w:bCs/>
                <w:sz w:val="21"/>
                <w:szCs w:val="21"/>
                <w:vertAlign w:val="baseline"/>
                <w:lang w:val="en-US" w:eastAsia="zh-CN"/>
              </w:rPr>
              <w:t>㎡</w:t>
            </w:r>
          </w:p>
        </w:tc>
      </w:tr>
      <w:tr w14:paraId="20E1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restart"/>
            <w:vAlign w:val="center"/>
          </w:tcPr>
          <w:p w14:paraId="792E249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加强城市基础设施建设改造</w:t>
            </w:r>
          </w:p>
        </w:tc>
        <w:tc>
          <w:tcPr>
            <w:tcW w:w="1846" w:type="dxa"/>
            <w:vAlign w:val="center"/>
          </w:tcPr>
          <w:p w14:paraId="6A416309">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推进城市燃气</w:t>
            </w:r>
          </w:p>
          <w:p w14:paraId="0BDE4745">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安全专项整治</w:t>
            </w:r>
          </w:p>
        </w:tc>
        <w:tc>
          <w:tcPr>
            <w:tcW w:w="1514" w:type="dxa"/>
            <w:vAlign w:val="center"/>
          </w:tcPr>
          <w:p w14:paraId="4931ECA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r>
              <w:rPr>
                <w:rFonts w:hint="default" w:ascii="Times New Roman" w:hAnsi="Times New Roman" w:eastAsia="仿宋_GB2312" w:cs="Times New Roman"/>
                <w:b w:val="0"/>
                <w:bCs/>
                <w:color w:val="000000"/>
                <w:kern w:val="2"/>
                <w:sz w:val="21"/>
                <w:szCs w:val="21"/>
                <w:vertAlign w:val="baseline"/>
                <w:lang w:val="en-US" w:eastAsia="zh-CN" w:bidi="ar-SA"/>
              </w:rPr>
              <w:t>燃气管道更新改造</w:t>
            </w:r>
          </w:p>
        </w:tc>
        <w:tc>
          <w:tcPr>
            <w:tcW w:w="1470" w:type="dxa"/>
          </w:tcPr>
          <w:p w14:paraId="7A119D39">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vAlign w:val="center"/>
          </w:tcPr>
          <w:p w14:paraId="6D2BD28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both"/>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更新改造老燃气管道（  ）公里</w:t>
            </w:r>
          </w:p>
        </w:tc>
      </w:tr>
      <w:tr w14:paraId="74EE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continue"/>
            <w:vAlign w:val="center"/>
          </w:tcPr>
          <w:p w14:paraId="5EF414B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846" w:type="dxa"/>
            <w:vMerge w:val="restart"/>
            <w:vAlign w:val="center"/>
          </w:tcPr>
          <w:p w14:paraId="2F33FB4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提升城市交通</w:t>
            </w:r>
          </w:p>
          <w:p w14:paraId="33F34F5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品质</w:t>
            </w:r>
          </w:p>
        </w:tc>
        <w:tc>
          <w:tcPr>
            <w:tcW w:w="1514" w:type="dxa"/>
            <w:vAlign w:val="center"/>
          </w:tcPr>
          <w:p w14:paraId="077B098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r>
              <w:rPr>
                <w:rFonts w:hint="default" w:ascii="Times New Roman" w:hAnsi="Times New Roman" w:eastAsia="仿宋_GB2312" w:cs="Times New Roman"/>
                <w:b w:val="0"/>
                <w:bCs/>
                <w:color w:val="000000"/>
                <w:kern w:val="2"/>
                <w:sz w:val="21"/>
                <w:szCs w:val="21"/>
                <w:vertAlign w:val="baseline"/>
                <w:lang w:val="en-US" w:eastAsia="zh-CN" w:bidi="ar-SA"/>
              </w:rPr>
              <w:t>新改扩建城市道路</w:t>
            </w:r>
          </w:p>
        </w:tc>
        <w:tc>
          <w:tcPr>
            <w:tcW w:w="1470" w:type="dxa"/>
          </w:tcPr>
          <w:p w14:paraId="066232F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vAlign w:val="center"/>
          </w:tcPr>
          <w:p w14:paraId="61E1A59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both"/>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新改扩建城市道路（  ）公里</w:t>
            </w:r>
          </w:p>
        </w:tc>
      </w:tr>
      <w:tr w14:paraId="71FA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continue"/>
            <w:vAlign w:val="center"/>
          </w:tcPr>
          <w:p w14:paraId="085812C9">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846" w:type="dxa"/>
            <w:vMerge w:val="continue"/>
            <w:vAlign w:val="center"/>
          </w:tcPr>
          <w:p w14:paraId="504ABBB6">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514" w:type="dxa"/>
            <w:vAlign w:val="center"/>
          </w:tcPr>
          <w:p w14:paraId="67C61C1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r>
              <w:rPr>
                <w:rFonts w:hint="default" w:ascii="Times New Roman" w:hAnsi="Times New Roman" w:eastAsia="仿宋_GB2312" w:cs="Times New Roman"/>
                <w:b w:val="0"/>
                <w:bCs/>
                <w:color w:val="000000"/>
                <w:kern w:val="2"/>
                <w:sz w:val="21"/>
                <w:szCs w:val="21"/>
                <w:vertAlign w:val="baseline"/>
                <w:lang w:val="en-US" w:eastAsia="zh-CN" w:bidi="ar-SA"/>
              </w:rPr>
              <w:t>城市“断头路”贯通项目</w:t>
            </w:r>
          </w:p>
        </w:tc>
        <w:tc>
          <w:tcPr>
            <w:tcW w:w="1470" w:type="dxa"/>
          </w:tcPr>
          <w:p w14:paraId="4E06E2B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vAlign w:val="center"/>
          </w:tcPr>
          <w:p w14:paraId="5FA2668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both"/>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贯通长度（  ）米</w:t>
            </w:r>
          </w:p>
        </w:tc>
      </w:tr>
      <w:tr w14:paraId="0799E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continue"/>
            <w:vAlign w:val="center"/>
          </w:tcPr>
          <w:p w14:paraId="70AAA5F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846" w:type="dxa"/>
            <w:vAlign w:val="center"/>
          </w:tcPr>
          <w:p w14:paraId="37FA249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完善城市慢行</w:t>
            </w:r>
          </w:p>
          <w:p w14:paraId="50FF538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系统</w:t>
            </w:r>
          </w:p>
        </w:tc>
        <w:tc>
          <w:tcPr>
            <w:tcW w:w="1514" w:type="dxa"/>
            <w:vAlign w:val="center"/>
          </w:tcPr>
          <w:p w14:paraId="279EB3D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r>
              <w:rPr>
                <w:rFonts w:hint="default" w:ascii="Times New Roman" w:hAnsi="Times New Roman" w:eastAsia="仿宋_GB2312" w:cs="Times New Roman"/>
                <w:b w:val="0"/>
                <w:bCs/>
                <w:color w:val="000000"/>
                <w:kern w:val="2"/>
                <w:sz w:val="21"/>
                <w:szCs w:val="21"/>
                <w:vertAlign w:val="baseline"/>
                <w:lang w:val="en-US" w:eastAsia="zh-CN" w:bidi="ar-SA"/>
              </w:rPr>
              <w:t>福道</w:t>
            </w:r>
          </w:p>
        </w:tc>
        <w:tc>
          <w:tcPr>
            <w:tcW w:w="1470" w:type="dxa"/>
          </w:tcPr>
          <w:p w14:paraId="3089028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tcPr>
          <w:p w14:paraId="6214D50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新建福道（  ）公里</w:t>
            </w:r>
          </w:p>
          <w:p w14:paraId="20DB69E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改造提升福道（  ）公里</w:t>
            </w:r>
          </w:p>
          <w:p w14:paraId="7067993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福道省级精品工程（  ）条</w:t>
            </w:r>
          </w:p>
        </w:tc>
      </w:tr>
      <w:tr w14:paraId="678F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continue"/>
            <w:vAlign w:val="center"/>
          </w:tcPr>
          <w:p w14:paraId="6CAAC4F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1846" w:type="dxa"/>
            <w:vAlign w:val="center"/>
          </w:tcPr>
          <w:p w14:paraId="7F7F512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完善城市公共停车和充电设施</w:t>
            </w:r>
          </w:p>
        </w:tc>
        <w:tc>
          <w:tcPr>
            <w:tcW w:w="1514" w:type="dxa"/>
            <w:vAlign w:val="center"/>
          </w:tcPr>
          <w:p w14:paraId="4BAD616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r>
              <w:rPr>
                <w:rFonts w:hint="default" w:ascii="Times New Roman" w:hAnsi="Times New Roman" w:eastAsia="仿宋_GB2312" w:cs="Times New Roman"/>
                <w:b w:val="0"/>
                <w:bCs/>
                <w:color w:val="000000"/>
                <w:kern w:val="2"/>
                <w:sz w:val="21"/>
                <w:szCs w:val="21"/>
                <w:vertAlign w:val="baseline"/>
                <w:lang w:val="en-US" w:eastAsia="zh-CN" w:bidi="ar-SA"/>
              </w:rPr>
              <w:t>新增公共停车泊位</w:t>
            </w:r>
          </w:p>
        </w:tc>
        <w:tc>
          <w:tcPr>
            <w:tcW w:w="1470" w:type="dxa"/>
          </w:tcPr>
          <w:p w14:paraId="6D7A8869">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vAlign w:val="center"/>
          </w:tcPr>
          <w:p w14:paraId="78FFF4C3">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both"/>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新增公共停车泊位（  ）个</w:t>
            </w:r>
          </w:p>
        </w:tc>
      </w:tr>
      <w:tr w14:paraId="1A73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Align w:val="center"/>
          </w:tcPr>
          <w:p w14:paraId="5594B845">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修复城市生态系统</w:t>
            </w:r>
          </w:p>
        </w:tc>
        <w:tc>
          <w:tcPr>
            <w:tcW w:w="1846" w:type="dxa"/>
            <w:vAlign w:val="center"/>
          </w:tcPr>
          <w:p w14:paraId="088B446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拓展共享绿色</w:t>
            </w:r>
          </w:p>
          <w:p w14:paraId="5925530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空间</w:t>
            </w:r>
          </w:p>
        </w:tc>
        <w:tc>
          <w:tcPr>
            <w:tcW w:w="1514" w:type="dxa"/>
            <w:vAlign w:val="center"/>
          </w:tcPr>
          <w:p w14:paraId="452AB01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r>
              <w:rPr>
                <w:rFonts w:hint="default" w:ascii="Times New Roman" w:hAnsi="Times New Roman" w:eastAsia="仿宋_GB2312" w:cs="Times New Roman"/>
                <w:b w:val="0"/>
                <w:bCs/>
                <w:color w:val="000000"/>
                <w:kern w:val="2"/>
                <w:sz w:val="21"/>
                <w:szCs w:val="21"/>
                <w:vertAlign w:val="baseline"/>
                <w:lang w:val="en-US" w:eastAsia="zh-CN" w:bidi="ar-SA"/>
              </w:rPr>
              <w:t>口袋公园</w:t>
            </w:r>
          </w:p>
        </w:tc>
        <w:tc>
          <w:tcPr>
            <w:tcW w:w="1470" w:type="dxa"/>
          </w:tcPr>
          <w:p w14:paraId="5268FD9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tcPr>
          <w:p w14:paraId="41F23C4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口袋公园（  ）个</w:t>
            </w:r>
          </w:p>
          <w:p w14:paraId="2AA5045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建设面积（ ）公顷</w:t>
            </w:r>
          </w:p>
        </w:tc>
      </w:tr>
      <w:tr w14:paraId="1B1B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restart"/>
            <w:vAlign w:val="center"/>
          </w:tcPr>
          <w:p w14:paraId="153584E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典型样板工程建设任务</w:t>
            </w:r>
          </w:p>
        </w:tc>
        <w:tc>
          <w:tcPr>
            <w:tcW w:w="1846" w:type="dxa"/>
            <w:vAlign w:val="center"/>
          </w:tcPr>
          <w:p w14:paraId="6951E95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城市片区更新</w:t>
            </w:r>
          </w:p>
        </w:tc>
        <w:tc>
          <w:tcPr>
            <w:tcW w:w="1514" w:type="dxa"/>
            <w:vAlign w:val="center"/>
          </w:tcPr>
          <w:p w14:paraId="415492E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p>
        </w:tc>
        <w:tc>
          <w:tcPr>
            <w:tcW w:w="1470" w:type="dxa"/>
          </w:tcPr>
          <w:p w14:paraId="4DEE132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tcPr>
          <w:p w14:paraId="3C74B95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r>
      <w:tr w14:paraId="3F59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vMerge w:val="continue"/>
          </w:tcPr>
          <w:p w14:paraId="0115A6D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1846" w:type="dxa"/>
            <w:vAlign w:val="center"/>
          </w:tcPr>
          <w:p w14:paraId="35D5A42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城市社区更新</w:t>
            </w:r>
          </w:p>
        </w:tc>
        <w:tc>
          <w:tcPr>
            <w:tcW w:w="1514" w:type="dxa"/>
            <w:vAlign w:val="center"/>
          </w:tcPr>
          <w:p w14:paraId="46A6D90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p>
        </w:tc>
        <w:tc>
          <w:tcPr>
            <w:tcW w:w="1470" w:type="dxa"/>
          </w:tcPr>
          <w:p w14:paraId="1EA6B33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05" w:type="dxa"/>
          </w:tcPr>
          <w:p w14:paraId="1C8328DE">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r>
    </w:tbl>
    <w:p w14:paraId="5C6026F6">
      <w:pPr>
        <w:pageBreakBefore w:val="0"/>
        <w:widowControl w:val="0"/>
        <w:kinsoku/>
        <w:wordWrap/>
        <w:overflowPunct/>
        <w:topLinePunct w:val="0"/>
        <w:autoSpaceDE/>
        <w:autoSpaceDN/>
        <w:bidi w:val="0"/>
        <w:adjustRightInd/>
        <w:snapToGrid/>
        <w:spacing w:line="590" w:lineRule="exact"/>
        <w:ind w:left="0" w:leftChars="0" w:right="0" w:rightChars="0"/>
        <w:jc w:val="both"/>
        <w:textAlignment w:val="auto"/>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cs="Times New Roman"/>
          <w:lang w:val="en-US" w:eastAsia="zh-CN"/>
        </w:rPr>
        <w:tab/>
      </w:r>
      <w:r>
        <w:rPr>
          <w:rFonts w:hint="default" w:ascii="Times New Roman" w:hAnsi="Times New Roman" w:cs="Times New Roman"/>
          <w:lang w:val="en-US" w:eastAsia="zh-CN"/>
        </w:rPr>
        <w:t xml:space="preserve"> </w:t>
      </w:r>
      <w:r>
        <w:rPr>
          <w:rFonts w:hint="default" w:ascii="Times New Roman" w:hAnsi="Times New Roman" w:eastAsia="仿宋_GB2312" w:cs="Times New Roman"/>
          <w:b w:val="0"/>
          <w:bCs/>
          <w:kern w:val="2"/>
          <w:sz w:val="32"/>
          <w:szCs w:val="32"/>
          <w:lang w:val="en-US" w:eastAsia="zh-CN" w:bidi="ar-SA"/>
        </w:rPr>
        <w:t>在信息项目基本信息的基础上，</w:t>
      </w:r>
      <w:r>
        <w:rPr>
          <w:rFonts w:hint="default" w:ascii="Times New Roman" w:hAnsi="Times New Roman" w:cs="Times New Roman"/>
          <w:b w:val="0"/>
          <w:bCs/>
          <w:kern w:val="2"/>
          <w:sz w:val="32"/>
          <w:szCs w:val="32"/>
          <w:lang w:val="en-US" w:eastAsia="zh-CN" w:bidi="ar-SA"/>
        </w:rPr>
        <w:t>依据</w:t>
      </w:r>
      <w:r>
        <w:rPr>
          <w:rFonts w:hint="default" w:ascii="Times New Roman" w:hAnsi="Times New Roman" w:eastAsia="仿宋_GB2312" w:cs="Times New Roman"/>
          <w:b w:val="0"/>
          <w:bCs/>
          <w:kern w:val="2"/>
          <w:sz w:val="32"/>
          <w:szCs w:val="32"/>
          <w:lang w:val="en-US" w:eastAsia="zh-CN" w:bidi="ar-SA"/>
        </w:rPr>
        <w:t>老旧小区改造</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老旧厂房厂区更新改造</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老旧街区更新改造</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燃气管道更新改造</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新改扩建城市道路</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城市“断头路”贯通项目</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福道</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新增公共停车泊位</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口袋公园</w:t>
      </w:r>
      <w:r>
        <w:rPr>
          <w:rFonts w:hint="default" w:ascii="Times New Roman" w:hAnsi="Times New Roman" w:cs="Times New Roman"/>
          <w:b w:val="0"/>
          <w:bCs/>
          <w:kern w:val="2"/>
          <w:sz w:val="32"/>
          <w:szCs w:val="32"/>
          <w:lang w:val="en-US" w:eastAsia="zh-CN" w:bidi="ar-SA"/>
        </w:rPr>
        <w:t>等不同类别的实际需求，扩展新增相应的信息项用于填报</w:t>
      </w:r>
      <w:r>
        <w:rPr>
          <w:rFonts w:hint="default" w:ascii="Times New Roman" w:hAnsi="Times New Roman" w:eastAsia="仿宋_GB2312" w:cs="Times New Roman"/>
          <w:b w:val="0"/>
          <w:bCs/>
          <w:kern w:val="2"/>
          <w:sz w:val="32"/>
          <w:szCs w:val="32"/>
          <w:lang w:val="en-US" w:eastAsia="zh-CN" w:bidi="ar-SA"/>
        </w:rPr>
        <w:t>。</w:t>
      </w:r>
    </w:p>
    <w:bookmarkEnd w:id="21"/>
    <w:p w14:paraId="58FE6E08">
      <w:pPr>
        <w:pStyle w:val="8"/>
        <w:pageBreakBefore w:val="0"/>
        <w:widowControl w:val="0"/>
        <w:numPr>
          <w:ilvl w:val="3"/>
          <w:numId w:val="0"/>
        </w:numPr>
        <w:kinsoku/>
        <w:wordWrap/>
        <w:overflowPunct/>
        <w:topLinePunct w:val="0"/>
        <w:autoSpaceDE/>
        <w:autoSpaceDN/>
        <w:bidi w:val="0"/>
        <w:adjustRightInd/>
        <w:snapToGrid/>
        <w:spacing w:before="0" w:after="0" w:line="59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22" w:name="_Toc25303"/>
      <w:bookmarkStart w:id="23" w:name="_Toc10655"/>
      <w:r>
        <w:rPr>
          <w:rFonts w:hint="default" w:ascii="Times New Roman" w:hAnsi="Times New Roman" w:eastAsia="仿宋_GB2312" w:cs="Times New Roman"/>
          <w:sz w:val="32"/>
          <w:szCs w:val="32"/>
          <w:lang w:val="en-US" w:eastAsia="zh-CN"/>
        </w:rPr>
        <w:t>2</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增加城管类项目类型</w:t>
      </w:r>
      <w:bookmarkEnd w:id="22"/>
      <w:bookmarkEnd w:id="23"/>
    </w:p>
    <w:p w14:paraId="152E59C5">
      <w:pPr>
        <w:keepNext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城管类项目类型包含提升城市供水保障水平、推进城市排水防涝、推进城市生活污水处理提质增效三类，申报采用“基础信息+分类目标”双层体系：先统一填报基础信息，系统再根据项目类型自动匹配对应年度目标填报模块。具体如下：</w:t>
      </w:r>
    </w:p>
    <w:tbl>
      <w:tblPr>
        <w:tblStyle w:val="15"/>
        <w:tblW w:w="90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9"/>
        <w:gridCol w:w="2334"/>
        <w:gridCol w:w="2000"/>
        <w:gridCol w:w="3181"/>
      </w:tblGrid>
      <w:tr w14:paraId="6A2C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Align w:val="center"/>
          </w:tcPr>
          <w:p w14:paraId="6337193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一级类别</w:t>
            </w:r>
          </w:p>
        </w:tc>
        <w:tc>
          <w:tcPr>
            <w:tcW w:w="2334" w:type="dxa"/>
            <w:vAlign w:val="center"/>
          </w:tcPr>
          <w:p w14:paraId="03C503A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二级类别</w:t>
            </w:r>
          </w:p>
        </w:tc>
        <w:tc>
          <w:tcPr>
            <w:tcW w:w="2000" w:type="dxa"/>
            <w:vAlign w:val="center"/>
          </w:tcPr>
          <w:p w14:paraId="53E838C3">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三级类别</w:t>
            </w:r>
          </w:p>
        </w:tc>
        <w:tc>
          <w:tcPr>
            <w:tcW w:w="3181" w:type="dxa"/>
            <w:vAlign w:val="center"/>
          </w:tcPr>
          <w:p w14:paraId="334B57B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年度目标</w:t>
            </w:r>
          </w:p>
        </w:tc>
      </w:tr>
      <w:tr w14:paraId="7A68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restart"/>
            <w:vAlign w:val="center"/>
          </w:tcPr>
          <w:p w14:paraId="52500BB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提升城市供水保障水平</w:t>
            </w:r>
          </w:p>
        </w:tc>
        <w:tc>
          <w:tcPr>
            <w:tcW w:w="2334" w:type="dxa"/>
            <w:vAlign w:val="center"/>
          </w:tcPr>
          <w:p w14:paraId="3211488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新改建供水管网</w:t>
            </w:r>
          </w:p>
        </w:tc>
        <w:tc>
          <w:tcPr>
            <w:tcW w:w="2000" w:type="dxa"/>
          </w:tcPr>
          <w:p w14:paraId="2213397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657EEA1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新建城区供水管网(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改造城区供水管网(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p>
        </w:tc>
      </w:tr>
      <w:tr w14:paraId="3AE9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vAlign w:val="center"/>
          </w:tcPr>
          <w:p w14:paraId="249C66AE">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334" w:type="dxa"/>
            <w:vAlign w:val="center"/>
          </w:tcPr>
          <w:p w14:paraId="0F031DD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二次供水设施的更新</w:t>
            </w:r>
          </w:p>
          <w:p w14:paraId="2E8467F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改造</w:t>
            </w:r>
          </w:p>
        </w:tc>
        <w:tc>
          <w:tcPr>
            <w:tcW w:w="2000" w:type="dxa"/>
          </w:tcPr>
          <w:p w14:paraId="446148D5">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0EB9646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改造管道长度(</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 )公里</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改造二次供水泵房(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)个</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改造水箱(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)个</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改造一户一表(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)户</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地埋式水池改造(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)个</w:t>
            </w:r>
          </w:p>
        </w:tc>
      </w:tr>
      <w:tr w14:paraId="5196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vAlign w:val="center"/>
          </w:tcPr>
          <w:p w14:paraId="4106A913">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334" w:type="dxa"/>
            <w:vAlign w:val="center"/>
          </w:tcPr>
          <w:p w14:paraId="22D509A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新建改造市县水厂</w:t>
            </w:r>
          </w:p>
        </w:tc>
        <w:tc>
          <w:tcPr>
            <w:tcW w:w="2000" w:type="dxa"/>
          </w:tcPr>
          <w:p w14:paraId="2957457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582A300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新增能力(</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 )万吨/日</w:t>
            </w:r>
          </w:p>
        </w:tc>
      </w:tr>
      <w:tr w14:paraId="294F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restart"/>
            <w:vAlign w:val="center"/>
          </w:tcPr>
          <w:p w14:paraId="169978EE">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推进城市排水防涝</w:t>
            </w:r>
          </w:p>
        </w:tc>
        <w:tc>
          <w:tcPr>
            <w:tcW w:w="2334" w:type="dxa"/>
            <w:vAlign w:val="center"/>
          </w:tcPr>
          <w:p w14:paraId="55D1B1A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新改建雨水管网（渠）</w:t>
            </w:r>
          </w:p>
        </w:tc>
        <w:tc>
          <w:tcPr>
            <w:tcW w:w="2000" w:type="dxa"/>
          </w:tcPr>
          <w:p w14:paraId="77F06603">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474CEA8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新建雨水管网（渠）(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改造雨水管网（渠）(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p>
        </w:tc>
      </w:tr>
      <w:tr w14:paraId="3E03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vAlign w:val="center"/>
          </w:tcPr>
          <w:p w14:paraId="2C3BD05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334" w:type="dxa"/>
            <w:vAlign w:val="center"/>
          </w:tcPr>
          <w:p w14:paraId="02AB90A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易涝点隐患整治</w:t>
            </w:r>
          </w:p>
        </w:tc>
        <w:tc>
          <w:tcPr>
            <w:tcW w:w="2000" w:type="dxa"/>
          </w:tcPr>
          <w:p w14:paraId="18BD368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0420283B">
            <w:pPr>
              <w:keepNext w:val="0"/>
              <w:keepLines w:val="0"/>
              <w:pageBreakBefore w:val="0"/>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val="0"/>
                <w:sz w:val="21"/>
                <w:szCs w:val="21"/>
                <w:vertAlign w:val="baseline"/>
                <w:lang w:val="en-US" w:eastAsia="zh-CN"/>
              </w:rPr>
            </w:pPr>
          </w:p>
        </w:tc>
      </w:tr>
      <w:tr w14:paraId="5956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vAlign w:val="center"/>
          </w:tcPr>
          <w:p w14:paraId="1177325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334" w:type="dxa"/>
            <w:vAlign w:val="center"/>
          </w:tcPr>
          <w:p w14:paraId="606083D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新建改造排涝泵站建设</w:t>
            </w:r>
          </w:p>
        </w:tc>
        <w:tc>
          <w:tcPr>
            <w:tcW w:w="2000" w:type="dxa"/>
          </w:tcPr>
          <w:p w14:paraId="7C297FA6">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4918E8D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新增能力(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)M3/S</w:t>
            </w:r>
          </w:p>
        </w:tc>
      </w:tr>
      <w:tr w14:paraId="15AC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restart"/>
            <w:vAlign w:val="center"/>
          </w:tcPr>
          <w:p w14:paraId="4A3778C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推进城市生活污水处理提质增效</w:t>
            </w:r>
          </w:p>
        </w:tc>
        <w:tc>
          <w:tcPr>
            <w:tcW w:w="2334" w:type="dxa"/>
            <w:vMerge w:val="restart"/>
            <w:vAlign w:val="center"/>
          </w:tcPr>
          <w:p w14:paraId="3E8582A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新增污水处理能力</w:t>
            </w:r>
          </w:p>
        </w:tc>
        <w:tc>
          <w:tcPr>
            <w:tcW w:w="2000" w:type="dxa"/>
            <w:vAlign w:val="center"/>
          </w:tcPr>
          <w:p w14:paraId="42F5591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新建污水厂</w:t>
            </w:r>
          </w:p>
        </w:tc>
        <w:tc>
          <w:tcPr>
            <w:tcW w:w="3181" w:type="dxa"/>
            <w:vAlign w:val="center"/>
          </w:tcPr>
          <w:p w14:paraId="370CF41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污水处理规模(</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 )万吨/日</w:t>
            </w:r>
          </w:p>
        </w:tc>
      </w:tr>
      <w:tr w14:paraId="6571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5DBFCAF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vMerge w:val="continue"/>
            <w:vAlign w:val="center"/>
          </w:tcPr>
          <w:p w14:paraId="487351F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p>
        </w:tc>
        <w:tc>
          <w:tcPr>
            <w:tcW w:w="2000" w:type="dxa"/>
            <w:vAlign w:val="center"/>
          </w:tcPr>
          <w:p w14:paraId="45BFF9A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扩建污水厂</w:t>
            </w:r>
          </w:p>
        </w:tc>
        <w:tc>
          <w:tcPr>
            <w:tcW w:w="3181" w:type="dxa"/>
            <w:vAlign w:val="center"/>
          </w:tcPr>
          <w:p w14:paraId="2206FD6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污水处理规模(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)万吨/日</w:t>
            </w:r>
          </w:p>
        </w:tc>
      </w:tr>
      <w:tr w14:paraId="7E841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2585F76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vMerge w:val="continue"/>
            <w:vAlign w:val="center"/>
          </w:tcPr>
          <w:p w14:paraId="139CF4C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p>
        </w:tc>
        <w:tc>
          <w:tcPr>
            <w:tcW w:w="2000" w:type="dxa"/>
            <w:vAlign w:val="center"/>
          </w:tcPr>
          <w:p w14:paraId="230A0FF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污水厂提标改造</w:t>
            </w:r>
          </w:p>
        </w:tc>
        <w:tc>
          <w:tcPr>
            <w:tcW w:w="3181" w:type="dxa"/>
            <w:vAlign w:val="center"/>
          </w:tcPr>
          <w:p w14:paraId="224B776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规模(</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 )万吨/日</w:t>
            </w:r>
          </w:p>
        </w:tc>
      </w:tr>
      <w:tr w14:paraId="65F4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50F19BA9">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shd w:val="clear" w:color="auto" w:fill="auto"/>
            <w:vAlign w:val="center"/>
          </w:tcPr>
          <w:p w14:paraId="47ECE5F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新建改造城区污水管网</w:t>
            </w:r>
          </w:p>
        </w:tc>
        <w:tc>
          <w:tcPr>
            <w:tcW w:w="2000" w:type="dxa"/>
          </w:tcPr>
          <w:p w14:paraId="3D3CFC6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28BA0D1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新建城区污水管网(</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 )公里</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改造城区污水管网(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p>
        </w:tc>
      </w:tr>
      <w:tr w14:paraId="6394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68DA8BF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shd w:val="clear" w:color="auto" w:fill="auto"/>
            <w:vAlign w:val="center"/>
          </w:tcPr>
          <w:p w14:paraId="7B42C6B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污水再生利用</w:t>
            </w:r>
          </w:p>
        </w:tc>
        <w:tc>
          <w:tcPr>
            <w:tcW w:w="2000" w:type="dxa"/>
            <w:vAlign w:val="center"/>
          </w:tcPr>
          <w:p w14:paraId="28110C4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新增再生水能力</w:t>
            </w:r>
          </w:p>
        </w:tc>
        <w:tc>
          <w:tcPr>
            <w:tcW w:w="3181" w:type="dxa"/>
            <w:vAlign w:val="center"/>
          </w:tcPr>
          <w:p w14:paraId="6309998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规模(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)万吨/日</w:t>
            </w:r>
          </w:p>
        </w:tc>
      </w:tr>
      <w:tr w14:paraId="3010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769CE7D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shd w:val="clear" w:color="auto" w:fill="auto"/>
            <w:vAlign w:val="center"/>
          </w:tcPr>
          <w:p w14:paraId="2B7D940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p>
        </w:tc>
        <w:tc>
          <w:tcPr>
            <w:tcW w:w="2000" w:type="dxa"/>
            <w:vAlign w:val="center"/>
          </w:tcPr>
          <w:p w14:paraId="67B0A40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新建配套管网</w:t>
            </w:r>
          </w:p>
        </w:tc>
        <w:tc>
          <w:tcPr>
            <w:tcW w:w="3181" w:type="dxa"/>
            <w:vAlign w:val="center"/>
          </w:tcPr>
          <w:p w14:paraId="25BCCA9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长度(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p>
        </w:tc>
      </w:tr>
      <w:tr w14:paraId="37FB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5866FF1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shd w:val="clear" w:color="auto" w:fill="auto"/>
            <w:vAlign w:val="center"/>
          </w:tcPr>
          <w:p w14:paraId="43195BC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新建改造市政污水泵站</w:t>
            </w:r>
          </w:p>
        </w:tc>
        <w:tc>
          <w:tcPr>
            <w:tcW w:w="2000" w:type="dxa"/>
          </w:tcPr>
          <w:p w14:paraId="70B116D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2E7B377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规模(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)立方米/秒</w:t>
            </w:r>
          </w:p>
        </w:tc>
      </w:tr>
      <w:tr w14:paraId="73E4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7748AD4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vMerge w:val="restart"/>
            <w:shd w:val="clear" w:color="auto" w:fill="auto"/>
            <w:vAlign w:val="center"/>
          </w:tcPr>
          <w:p w14:paraId="5057F87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污水管网排查建档</w:t>
            </w:r>
          </w:p>
        </w:tc>
        <w:tc>
          <w:tcPr>
            <w:tcW w:w="2000" w:type="dxa"/>
            <w:vAlign w:val="center"/>
          </w:tcPr>
          <w:p w14:paraId="7800339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市政污水管网排查建档</w:t>
            </w:r>
          </w:p>
        </w:tc>
        <w:tc>
          <w:tcPr>
            <w:tcW w:w="3181" w:type="dxa"/>
            <w:vAlign w:val="center"/>
          </w:tcPr>
          <w:p w14:paraId="322C310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排查长度(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建档长度(</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 )公里</w:t>
            </w:r>
          </w:p>
        </w:tc>
      </w:tr>
      <w:tr w14:paraId="063C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0BD1EE6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vMerge w:val="continue"/>
            <w:shd w:val="clear" w:color="auto" w:fill="auto"/>
            <w:vAlign w:val="center"/>
          </w:tcPr>
          <w:p w14:paraId="6D72FD3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p>
        </w:tc>
        <w:tc>
          <w:tcPr>
            <w:tcW w:w="2000" w:type="dxa"/>
            <w:vAlign w:val="center"/>
          </w:tcPr>
          <w:p w14:paraId="2A13DB8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i w:val="0"/>
                <w:iCs w:val="0"/>
                <w:color w:val="000000"/>
                <w:kern w:val="0"/>
                <w:sz w:val="21"/>
                <w:szCs w:val="21"/>
                <w:u w:val="none"/>
                <w:lang w:val="en-US" w:eastAsia="zh-CN" w:bidi="ar"/>
              </w:rPr>
              <w:t>小区污水管网排查建档</w:t>
            </w:r>
          </w:p>
        </w:tc>
        <w:tc>
          <w:tcPr>
            <w:tcW w:w="3181" w:type="dxa"/>
            <w:vAlign w:val="center"/>
          </w:tcPr>
          <w:p w14:paraId="4966110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排查长度(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r>
              <w:rPr>
                <w:rFonts w:hint="default" w:ascii="Times New Roman" w:hAnsi="Times New Roman" w:eastAsia="仿宋_GB2312" w:cs="Times New Roman"/>
                <w:b w:val="0"/>
                <w:bCs w:val="0"/>
                <w:i w:val="0"/>
                <w:iCs w:val="0"/>
                <w:color w:val="000000"/>
                <w:kern w:val="0"/>
                <w:sz w:val="21"/>
                <w:szCs w:val="21"/>
                <w:u w:val="none"/>
                <w:lang w:val="en-US" w:eastAsia="zh-CN" w:bidi="ar"/>
              </w:rPr>
              <w:br w:type="textWrapping"/>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建档长度(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p>
        </w:tc>
      </w:tr>
      <w:tr w14:paraId="5E84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9" w:type="dxa"/>
            <w:vMerge w:val="continue"/>
          </w:tcPr>
          <w:p w14:paraId="57AE970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334" w:type="dxa"/>
            <w:shd w:val="clear" w:color="auto" w:fill="auto"/>
            <w:vAlign w:val="center"/>
          </w:tcPr>
          <w:p w14:paraId="1722D8A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i w:val="0"/>
                <w:iCs w:val="0"/>
                <w:color w:val="000000"/>
                <w:kern w:val="0"/>
                <w:sz w:val="21"/>
                <w:szCs w:val="21"/>
                <w:u w:val="none"/>
                <w:lang w:val="en-US" w:eastAsia="zh-CN" w:bidi="ar"/>
              </w:rPr>
            </w:pPr>
            <w:r>
              <w:rPr>
                <w:rFonts w:hint="default" w:ascii="Times New Roman" w:hAnsi="Times New Roman" w:eastAsia="仿宋_GB2312" w:cs="Times New Roman"/>
                <w:b w:val="0"/>
                <w:bCs/>
                <w:i w:val="0"/>
                <w:iCs w:val="0"/>
                <w:color w:val="000000"/>
                <w:kern w:val="0"/>
                <w:sz w:val="21"/>
                <w:szCs w:val="21"/>
                <w:u w:val="none"/>
                <w:lang w:val="en-US" w:eastAsia="zh-CN" w:bidi="ar"/>
              </w:rPr>
              <w:t>污泥处置</w:t>
            </w:r>
          </w:p>
        </w:tc>
        <w:tc>
          <w:tcPr>
            <w:tcW w:w="2000" w:type="dxa"/>
          </w:tcPr>
          <w:p w14:paraId="5E29B59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3181" w:type="dxa"/>
            <w:vAlign w:val="center"/>
          </w:tcPr>
          <w:p w14:paraId="3C3CCD7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规模(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)万吨/日</w:t>
            </w:r>
          </w:p>
        </w:tc>
      </w:tr>
    </w:tbl>
    <w:p w14:paraId="1A4C926D">
      <w:pPr>
        <w:pStyle w:val="8"/>
        <w:pageBreakBefore w:val="0"/>
        <w:widowControl w:val="0"/>
        <w:numPr>
          <w:ilvl w:val="3"/>
          <w:numId w:val="0"/>
        </w:numPr>
        <w:kinsoku/>
        <w:wordWrap/>
        <w:overflowPunct/>
        <w:topLinePunct w:val="0"/>
        <w:autoSpaceDE/>
        <w:autoSpaceDN/>
        <w:bidi w:val="0"/>
        <w:adjustRightInd/>
        <w:snapToGrid/>
        <w:spacing w:before="0" w:after="0" w:line="580" w:lineRule="exact"/>
        <w:ind w:left="0" w:leftChars="0" w:right="0" w:rightChars="0" w:firstLine="640" w:firstLineChars="200"/>
        <w:jc w:val="both"/>
        <w:textAlignment w:val="auto"/>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在信息项目基本信息的基础上，</w:t>
      </w:r>
      <w:r>
        <w:rPr>
          <w:rFonts w:hint="default" w:ascii="Times New Roman" w:hAnsi="Times New Roman" w:cs="Times New Roman"/>
          <w:b w:val="0"/>
          <w:bCs/>
          <w:kern w:val="2"/>
          <w:sz w:val="32"/>
          <w:szCs w:val="32"/>
          <w:lang w:val="en-US" w:eastAsia="zh-CN" w:bidi="ar-SA"/>
        </w:rPr>
        <w:t>依据</w:t>
      </w:r>
      <w:r>
        <w:rPr>
          <w:rFonts w:hint="default" w:ascii="Times New Roman" w:hAnsi="Times New Roman" w:eastAsia="仿宋_GB2312" w:cs="Times New Roman"/>
          <w:b w:val="0"/>
          <w:bCs/>
          <w:kern w:val="2"/>
          <w:sz w:val="32"/>
          <w:szCs w:val="32"/>
          <w:lang w:val="en-US" w:eastAsia="zh-CN" w:bidi="ar-SA"/>
        </w:rPr>
        <w:t>新改建供水管网</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二次供水设施的更新改造</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新建改造市县水厂</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新改建雨水管网（渠）项目</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新建改造排涝泵站建设、新增污水处理能力、新建改造城区污水管网、新增再生水能力、新建配套管网、市政污水管网排查建档、小区污水管网排查建档、污泥处置等不同类别的实际需求，扩展新增相应的信息项用于填报。</w:t>
      </w:r>
    </w:p>
    <w:p w14:paraId="13CC8A61">
      <w:pPr>
        <w:pStyle w:val="8"/>
        <w:pageBreakBefore w:val="0"/>
        <w:widowControl w:val="0"/>
        <w:numPr>
          <w:ilvl w:val="3"/>
          <w:numId w:val="0"/>
        </w:numPr>
        <w:kinsoku/>
        <w:wordWrap/>
        <w:overflowPunct/>
        <w:topLinePunct w:val="0"/>
        <w:autoSpaceDE/>
        <w:autoSpaceDN/>
        <w:bidi w:val="0"/>
        <w:adjustRightInd/>
        <w:snapToGrid/>
        <w:spacing w:before="0" w:after="0" w:line="58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24" w:name="_Toc15897"/>
      <w:bookmarkStart w:id="25" w:name="_Toc25582"/>
      <w:r>
        <w:rPr>
          <w:rFonts w:hint="default" w:ascii="Times New Roman" w:hAnsi="Times New Roman" w:eastAsia="仿宋_GB2312" w:cs="Times New Roman"/>
          <w:sz w:val="32"/>
          <w:szCs w:val="32"/>
          <w:lang w:val="en-US" w:eastAsia="zh-CN"/>
        </w:rPr>
        <w:t>3</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增加科技类项目类型</w:t>
      </w:r>
      <w:bookmarkEnd w:id="24"/>
      <w:bookmarkEnd w:id="25"/>
    </w:p>
    <w:p w14:paraId="249BAB82">
      <w:pPr>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仿宋_GB2312" w:cs="Times New Roman"/>
          <w:b w:val="0"/>
          <w:bCs/>
          <w:kern w:val="2"/>
          <w:sz w:val="32"/>
          <w:szCs w:val="32"/>
          <w:lang w:val="en-US" w:eastAsia="zh-CN" w:bidi="ar-SA"/>
        </w:rPr>
        <w:t>科技类项目包括推进既有建筑节能降碳改造、打造一批无障碍设施样板区两类，申报采用“基础信息+分类目标”双层体系：先统一填报基础信息，系统再根据项目类型自动匹配对应年度目标填报模块。具体如下：</w:t>
      </w:r>
    </w:p>
    <w:tbl>
      <w:tblPr>
        <w:tblStyle w:val="15"/>
        <w:tblW w:w="94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3803"/>
      </w:tblGrid>
      <w:tr w14:paraId="76E1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shd w:val="clear" w:color="auto" w:fill="auto"/>
            <w:vAlign w:val="center"/>
          </w:tcPr>
          <w:p w14:paraId="498BE71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r>
              <w:rPr>
                <w:rFonts w:hint="default" w:ascii="Times New Roman" w:hAnsi="Times New Roman" w:eastAsia="仿宋_GB2312" w:cs="Times New Roman"/>
                <w:b w:val="0"/>
                <w:bCs/>
                <w:sz w:val="21"/>
                <w:szCs w:val="21"/>
                <w:vertAlign w:val="baseline"/>
                <w:lang w:val="en-US" w:eastAsia="zh-CN"/>
              </w:rPr>
              <w:t>一级类别</w:t>
            </w:r>
          </w:p>
        </w:tc>
        <w:tc>
          <w:tcPr>
            <w:tcW w:w="2841" w:type="dxa"/>
            <w:shd w:val="clear" w:color="auto" w:fill="auto"/>
            <w:vAlign w:val="center"/>
          </w:tcPr>
          <w:p w14:paraId="2EDF20B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color w:val="000000"/>
                <w:kern w:val="2"/>
                <w:sz w:val="21"/>
                <w:szCs w:val="21"/>
                <w:vertAlign w:val="baseline"/>
                <w:lang w:val="en-US" w:eastAsia="zh-CN" w:bidi="ar-SA"/>
              </w:rPr>
            </w:pPr>
            <w:r>
              <w:rPr>
                <w:rFonts w:hint="default" w:ascii="Times New Roman" w:hAnsi="Times New Roman" w:eastAsia="仿宋_GB2312" w:cs="Times New Roman"/>
                <w:b w:val="0"/>
                <w:bCs/>
                <w:sz w:val="21"/>
                <w:szCs w:val="21"/>
                <w:vertAlign w:val="baseline"/>
                <w:lang w:val="en-US" w:eastAsia="zh-CN"/>
              </w:rPr>
              <w:t>二级类别</w:t>
            </w:r>
          </w:p>
        </w:tc>
        <w:tc>
          <w:tcPr>
            <w:tcW w:w="3803" w:type="dxa"/>
          </w:tcPr>
          <w:p w14:paraId="5B5C7A6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年度目标</w:t>
            </w:r>
          </w:p>
        </w:tc>
      </w:tr>
      <w:tr w14:paraId="2AC8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14:paraId="6E0474B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lang w:val="en-US" w:eastAsia="zh-CN" w:bidi="ar-SA"/>
              </w:rPr>
            </w:pPr>
            <w:r>
              <w:rPr>
                <w:rFonts w:hint="default" w:ascii="Times New Roman" w:hAnsi="Times New Roman" w:eastAsia="仿宋_GB2312" w:cs="Times New Roman"/>
                <w:b w:val="0"/>
                <w:bCs/>
                <w:color w:val="000000"/>
                <w:kern w:val="2"/>
                <w:sz w:val="21"/>
                <w:szCs w:val="21"/>
                <w:lang w:val="en-US" w:eastAsia="zh-CN" w:bidi="ar-SA"/>
              </w:rPr>
              <w:t>推进既有建筑节能降碳改造</w:t>
            </w:r>
          </w:p>
        </w:tc>
        <w:tc>
          <w:tcPr>
            <w:tcW w:w="2841" w:type="dxa"/>
          </w:tcPr>
          <w:p w14:paraId="71A63FC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color w:val="000000"/>
                <w:kern w:val="2"/>
                <w:sz w:val="21"/>
                <w:szCs w:val="21"/>
                <w:lang w:val="en-US" w:eastAsia="zh-CN" w:bidi="ar-SA"/>
              </w:rPr>
            </w:pPr>
          </w:p>
        </w:tc>
        <w:tc>
          <w:tcPr>
            <w:tcW w:w="3803" w:type="dxa"/>
            <w:vAlign w:val="center"/>
          </w:tcPr>
          <w:p w14:paraId="59B3817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lang w:val="en-US" w:eastAsia="zh-CN" w:bidi="ar-SA"/>
              </w:rPr>
            </w:pPr>
            <w:r>
              <w:rPr>
                <w:rFonts w:hint="default" w:ascii="Times New Roman" w:hAnsi="Times New Roman" w:eastAsia="仿宋_GB2312" w:cs="Times New Roman"/>
                <w:b w:val="0"/>
                <w:bCs/>
                <w:color w:val="000000"/>
                <w:kern w:val="2"/>
                <w:sz w:val="21"/>
                <w:szCs w:val="21"/>
                <w:lang w:val="en-US" w:eastAsia="zh-CN" w:bidi="ar-SA"/>
              </w:rPr>
              <w:t>公共建筑节能改造面积（  ）万平方米</w:t>
            </w:r>
          </w:p>
        </w:tc>
      </w:tr>
      <w:tr w14:paraId="52A7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14:paraId="169C2AD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lang w:val="en-US" w:eastAsia="zh-CN" w:bidi="ar-SA"/>
              </w:rPr>
            </w:pPr>
            <w:r>
              <w:rPr>
                <w:rFonts w:hint="default" w:ascii="Times New Roman" w:hAnsi="Times New Roman" w:eastAsia="仿宋_GB2312" w:cs="Times New Roman"/>
                <w:b w:val="0"/>
                <w:bCs/>
                <w:color w:val="000000"/>
                <w:kern w:val="2"/>
                <w:sz w:val="21"/>
                <w:szCs w:val="21"/>
                <w:lang w:val="en-US" w:eastAsia="zh-CN" w:bidi="ar-SA"/>
              </w:rPr>
              <w:t>推进无障碍设施改造提升</w:t>
            </w:r>
          </w:p>
        </w:tc>
        <w:tc>
          <w:tcPr>
            <w:tcW w:w="2841" w:type="dxa"/>
          </w:tcPr>
          <w:p w14:paraId="23F4593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color w:val="000000"/>
                <w:kern w:val="2"/>
                <w:sz w:val="21"/>
                <w:szCs w:val="21"/>
                <w:lang w:val="en-US" w:eastAsia="zh-CN" w:bidi="ar-SA"/>
              </w:rPr>
            </w:pPr>
            <w:r>
              <w:rPr>
                <w:rFonts w:hint="default" w:ascii="Times New Roman" w:hAnsi="Times New Roman" w:eastAsia="仿宋_GB2312" w:cs="Times New Roman"/>
                <w:b w:val="0"/>
                <w:bCs/>
                <w:color w:val="000000"/>
                <w:kern w:val="2"/>
                <w:sz w:val="21"/>
                <w:szCs w:val="21"/>
                <w:lang w:val="en-US" w:eastAsia="zh-CN" w:bidi="ar-SA"/>
              </w:rPr>
              <w:t>打造一批无障碍设施样板区</w:t>
            </w:r>
          </w:p>
        </w:tc>
        <w:tc>
          <w:tcPr>
            <w:tcW w:w="3803" w:type="dxa"/>
            <w:vAlign w:val="center"/>
          </w:tcPr>
          <w:p w14:paraId="16A92CA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color w:val="000000"/>
                <w:kern w:val="2"/>
                <w:sz w:val="21"/>
                <w:szCs w:val="21"/>
                <w:lang w:val="en-US" w:eastAsia="zh-CN" w:bidi="ar-SA"/>
              </w:rPr>
            </w:pPr>
            <w:r>
              <w:rPr>
                <w:rFonts w:hint="default" w:ascii="Times New Roman" w:hAnsi="Times New Roman" w:eastAsia="仿宋_GB2312" w:cs="Times New Roman"/>
                <w:b w:val="0"/>
                <w:bCs/>
                <w:color w:val="000000"/>
                <w:kern w:val="2"/>
                <w:sz w:val="21"/>
                <w:szCs w:val="21"/>
                <w:lang w:val="en-US" w:eastAsia="zh-CN" w:bidi="ar-SA"/>
              </w:rPr>
              <w:t>改造提升居住小区（）个</w:t>
            </w:r>
            <w:r>
              <w:rPr>
                <w:rFonts w:hint="default" w:ascii="Times New Roman" w:hAnsi="Times New Roman" w:eastAsia="仿宋_GB2312" w:cs="Times New Roman"/>
                <w:b w:val="0"/>
                <w:bCs/>
                <w:color w:val="000000"/>
                <w:kern w:val="2"/>
                <w:sz w:val="21"/>
                <w:szCs w:val="21"/>
                <w:lang w:val="en-US" w:eastAsia="zh-CN" w:bidi="ar-SA"/>
              </w:rPr>
              <w:br w:type="textWrapping"/>
            </w:r>
            <w:r>
              <w:rPr>
                <w:rFonts w:hint="default" w:ascii="Times New Roman" w:hAnsi="Times New Roman" w:eastAsia="仿宋_GB2312" w:cs="Times New Roman"/>
                <w:b w:val="0"/>
                <w:bCs/>
                <w:color w:val="000000"/>
                <w:kern w:val="2"/>
                <w:sz w:val="21"/>
                <w:szCs w:val="21"/>
                <w:lang w:val="en-US" w:eastAsia="zh-CN" w:bidi="ar-SA"/>
              </w:rPr>
              <w:t>改造提升公共管理服务设施（）个</w:t>
            </w:r>
            <w:r>
              <w:rPr>
                <w:rFonts w:hint="default" w:ascii="Times New Roman" w:hAnsi="Times New Roman" w:eastAsia="仿宋_GB2312" w:cs="Times New Roman"/>
                <w:b w:val="0"/>
                <w:bCs/>
                <w:color w:val="000000"/>
                <w:kern w:val="2"/>
                <w:sz w:val="21"/>
                <w:szCs w:val="21"/>
                <w:lang w:val="en-US" w:eastAsia="zh-CN" w:bidi="ar-SA"/>
              </w:rPr>
              <w:br w:type="textWrapping"/>
            </w:r>
            <w:r>
              <w:rPr>
                <w:rFonts w:hint="default" w:ascii="Times New Roman" w:hAnsi="Times New Roman" w:eastAsia="仿宋_GB2312" w:cs="Times New Roman"/>
                <w:b w:val="0"/>
                <w:bCs/>
                <w:color w:val="000000"/>
                <w:kern w:val="2"/>
                <w:sz w:val="21"/>
                <w:szCs w:val="21"/>
                <w:lang w:val="en-US" w:eastAsia="zh-CN" w:bidi="ar-SA"/>
              </w:rPr>
              <w:t>改造提升社区公园广场（）个</w:t>
            </w:r>
            <w:r>
              <w:rPr>
                <w:rFonts w:hint="default" w:ascii="Times New Roman" w:hAnsi="Times New Roman" w:eastAsia="仿宋_GB2312" w:cs="Times New Roman"/>
                <w:b w:val="0"/>
                <w:bCs/>
                <w:color w:val="000000"/>
                <w:kern w:val="2"/>
                <w:sz w:val="21"/>
                <w:szCs w:val="21"/>
                <w:lang w:val="en-US" w:eastAsia="zh-CN" w:bidi="ar-SA"/>
              </w:rPr>
              <w:br w:type="textWrapping"/>
            </w:r>
            <w:r>
              <w:rPr>
                <w:rFonts w:hint="default" w:ascii="Times New Roman" w:hAnsi="Times New Roman" w:eastAsia="仿宋_GB2312" w:cs="Times New Roman"/>
                <w:b w:val="0"/>
                <w:bCs/>
                <w:color w:val="000000"/>
                <w:kern w:val="2"/>
                <w:sz w:val="21"/>
                <w:szCs w:val="21"/>
                <w:lang w:val="en-US" w:eastAsia="zh-CN" w:bidi="ar-SA"/>
              </w:rPr>
              <w:t>改造提升交通场站（）个</w:t>
            </w:r>
            <w:r>
              <w:rPr>
                <w:rFonts w:hint="default" w:ascii="Times New Roman" w:hAnsi="Times New Roman" w:eastAsia="仿宋_GB2312" w:cs="Times New Roman"/>
                <w:b w:val="0"/>
                <w:bCs/>
                <w:color w:val="000000"/>
                <w:kern w:val="2"/>
                <w:sz w:val="21"/>
                <w:szCs w:val="21"/>
                <w:lang w:val="en-US" w:eastAsia="zh-CN" w:bidi="ar-SA"/>
              </w:rPr>
              <w:br w:type="textWrapping"/>
            </w:r>
            <w:r>
              <w:rPr>
                <w:rFonts w:hint="default" w:ascii="Times New Roman" w:hAnsi="Times New Roman" w:eastAsia="仿宋_GB2312" w:cs="Times New Roman"/>
                <w:b w:val="0"/>
                <w:bCs/>
                <w:color w:val="000000"/>
                <w:kern w:val="2"/>
                <w:sz w:val="21"/>
                <w:szCs w:val="21"/>
                <w:lang w:val="en-US" w:eastAsia="zh-CN" w:bidi="ar-SA"/>
              </w:rPr>
              <w:t>改造提升主要道路（）条</w:t>
            </w:r>
          </w:p>
        </w:tc>
      </w:tr>
    </w:tbl>
    <w:p w14:paraId="082A7FBB">
      <w:pPr>
        <w:pageBreakBefore w:val="0"/>
        <w:widowControl w:val="0"/>
        <w:kinsoku/>
        <w:wordWrap/>
        <w:overflowPunct/>
        <w:topLinePunct w:val="0"/>
        <w:autoSpaceDE/>
        <w:autoSpaceDN/>
        <w:bidi w:val="0"/>
        <w:adjustRightInd/>
        <w:snapToGrid/>
        <w:spacing w:line="520" w:lineRule="exact"/>
        <w:ind w:right="0" w:rightChars="0" w:firstLine="640" w:firstLineChars="200"/>
        <w:jc w:val="both"/>
        <w:textAlignment w:val="auto"/>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在信息项目基本信息的基础上，</w:t>
      </w:r>
      <w:r>
        <w:rPr>
          <w:rFonts w:hint="default" w:ascii="Times New Roman" w:hAnsi="Times New Roman" w:cs="Times New Roman"/>
          <w:b w:val="0"/>
          <w:bCs/>
          <w:kern w:val="2"/>
          <w:sz w:val="32"/>
          <w:szCs w:val="32"/>
          <w:lang w:val="en-US" w:eastAsia="zh-CN" w:bidi="ar-SA"/>
        </w:rPr>
        <w:t>依据</w:t>
      </w:r>
      <w:r>
        <w:rPr>
          <w:rFonts w:hint="default" w:ascii="Times New Roman" w:hAnsi="Times New Roman" w:eastAsia="仿宋_GB2312" w:cs="Times New Roman"/>
          <w:b w:val="0"/>
          <w:bCs/>
          <w:kern w:val="2"/>
          <w:sz w:val="32"/>
          <w:szCs w:val="32"/>
          <w:lang w:val="en-US" w:eastAsia="zh-CN" w:bidi="ar-SA"/>
        </w:rPr>
        <w:t>推进既有建筑节能降碳改造类型</w:t>
      </w:r>
      <w:r>
        <w:rPr>
          <w:rFonts w:hint="default" w:ascii="Times New Roman" w:hAnsi="Times New Roman" w:cs="Times New Roman"/>
          <w:b w:val="0"/>
          <w:bCs/>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SA"/>
        </w:rPr>
        <w:t>打造一批无障碍设施样板区类型等不同类别的实际需求，扩展新增相应的信息项用于填报。</w:t>
      </w:r>
    </w:p>
    <w:p w14:paraId="4AE17593">
      <w:pPr>
        <w:pStyle w:val="8"/>
        <w:pageBreakBefore w:val="0"/>
        <w:widowControl w:val="0"/>
        <w:numPr>
          <w:ilvl w:val="3"/>
          <w:numId w:val="0"/>
        </w:numPr>
        <w:kinsoku/>
        <w:wordWrap/>
        <w:overflowPunct/>
        <w:topLinePunct w:val="0"/>
        <w:autoSpaceDE/>
        <w:autoSpaceDN/>
        <w:bidi w:val="0"/>
        <w:adjustRightInd/>
        <w:spacing w:before="0" w:after="0" w:line="52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26" w:name="_Toc838"/>
      <w:r>
        <w:rPr>
          <w:rFonts w:hint="default" w:ascii="Times New Roman" w:hAnsi="Times New Roman" w:eastAsia="仿宋_GB2312" w:cs="Times New Roman"/>
          <w:sz w:val="32"/>
          <w:szCs w:val="32"/>
          <w:lang w:val="en-US" w:eastAsia="zh-CN"/>
        </w:rPr>
        <w:t>4</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增加村镇类项目类型</w:t>
      </w:r>
      <w:bookmarkEnd w:id="26"/>
    </w:p>
    <w:p w14:paraId="105352F6">
      <w:pPr>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村镇类项目类型包含闽台乡建乡创合作样板集镇、闽台乡建乡创合作样板村、闽台乡建乡创合作样板县、乡镇生活污水治理提升县、农村生活垃圾治理试点县。申报采用“基础信息+分类目标”双层体系：先统一填报基础信息，系统再根据项目类型自动匹配对应年度目标填报模块。具体如下:</w:t>
      </w:r>
    </w:p>
    <w:tbl>
      <w:tblPr>
        <w:tblStyle w:val="15"/>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2810"/>
        <w:gridCol w:w="2129"/>
        <w:gridCol w:w="2129"/>
      </w:tblGrid>
      <w:tr w14:paraId="2A7D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Align w:val="top"/>
          </w:tcPr>
          <w:p w14:paraId="47E83C0E">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一级类别</w:t>
            </w:r>
          </w:p>
        </w:tc>
        <w:tc>
          <w:tcPr>
            <w:tcW w:w="2810" w:type="dxa"/>
            <w:vAlign w:val="top"/>
          </w:tcPr>
          <w:p w14:paraId="3D7A9DB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二级类别</w:t>
            </w:r>
          </w:p>
        </w:tc>
        <w:tc>
          <w:tcPr>
            <w:tcW w:w="2129" w:type="dxa"/>
            <w:vAlign w:val="top"/>
          </w:tcPr>
          <w:p w14:paraId="0491AFA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三级类别</w:t>
            </w:r>
          </w:p>
        </w:tc>
        <w:tc>
          <w:tcPr>
            <w:tcW w:w="2129" w:type="dxa"/>
            <w:vAlign w:val="top"/>
          </w:tcPr>
          <w:p w14:paraId="304F2019">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年度目标</w:t>
            </w:r>
          </w:p>
        </w:tc>
      </w:tr>
      <w:tr w14:paraId="7ABB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restart"/>
          </w:tcPr>
          <w:p w14:paraId="3B20EA16">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村镇类</w:t>
            </w:r>
          </w:p>
        </w:tc>
        <w:tc>
          <w:tcPr>
            <w:tcW w:w="2810" w:type="dxa"/>
            <w:vMerge w:val="restart"/>
          </w:tcPr>
          <w:p w14:paraId="0A2277C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vertAlign w:val="baseline"/>
                <w:lang w:val="en-US" w:eastAsia="zh-CN"/>
              </w:rPr>
              <w:t>闽台乡建乡创合作样板集镇</w:t>
            </w:r>
          </w:p>
        </w:tc>
        <w:tc>
          <w:tcPr>
            <w:tcW w:w="2129" w:type="dxa"/>
            <w:vAlign w:val="center"/>
          </w:tcPr>
          <w:p w14:paraId="50A357A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sz w:val="21"/>
                <w:szCs w:val="21"/>
                <w:vertAlign w:val="baseline"/>
                <w:lang w:val="en-US" w:eastAsia="zh-CN"/>
              </w:rPr>
            </w:pPr>
            <w:r>
              <w:rPr>
                <w:rFonts w:hint="default" w:ascii="Times New Roman" w:hAnsi="Times New Roman" w:eastAsia="仿宋_GB2312" w:cs="Times New Roman"/>
                <w:b w:val="0"/>
                <w:bCs w:val="0"/>
                <w:i w:val="0"/>
                <w:iCs w:val="0"/>
                <w:color w:val="auto"/>
                <w:kern w:val="0"/>
                <w:sz w:val="21"/>
                <w:szCs w:val="21"/>
                <w:u w:val="none"/>
                <w:lang w:val="en-US" w:eastAsia="zh-CN" w:bidi="ar"/>
              </w:rPr>
              <w:t>提升人居环境质量</w:t>
            </w:r>
          </w:p>
        </w:tc>
        <w:tc>
          <w:tcPr>
            <w:tcW w:w="2129" w:type="dxa"/>
            <w:vAlign w:val="center"/>
          </w:tcPr>
          <w:p w14:paraId="0EE947D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0F29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6D7D8605">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Pr>
          <w:p w14:paraId="0637211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vAlign w:val="center"/>
          </w:tcPr>
          <w:p w14:paraId="3A92A39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sz w:val="21"/>
                <w:szCs w:val="21"/>
                <w:vertAlign w:val="baseline"/>
                <w:lang w:val="en-US" w:eastAsia="zh-CN"/>
              </w:rPr>
            </w:pPr>
            <w:r>
              <w:rPr>
                <w:rFonts w:hint="default" w:ascii="Times New Roman" w:hAnsi="Times New Roman" w:eastAsia="仿宋_GB2312" w:cs="Times New Roman"/>
                <w:b w:val="0"/>
                <w:bCs w:val="0"/>
                <w:i w:val="0"/>
                <w:iCs w:val="0"/>
                <w:color w:val="auto"/>
                <w:kern w:val="0"/>
                <w:sz w:val="21"/>
                <w:szCs w:val="21"/>
                <w:u w:val="none"/>
                <w:lang w:val="en-US" w:eastAsia="zh-CN" w:bidi="ar"/>
              </w:rPr>
              <w:t>开展三类农房改造</w:t>
            </w:r>
          </w:p>
        </w:tc>
        <w:tc>
          <w:tcPr>
            <w:tcW w:w="2129" w:type="dxa"/>
            <w:vAlign w:val="center"/>
          </w:tcPr>
          <w:p w14:paraId="2B671C1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2F15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34B3FA8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Pr>
          <w:p w14:paraId="003CCAF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vAlign w:val="center"/>
          </w:tcPr>
          <w:p w14:paraId="711761B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sz w:val="21"/>
                <w:szCs w:val="21"/>
                <w:vertAlign w:val="baseline"/>
                <w:lang w:val="en-US" w:eastAsia="zh-CN"/>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完善惠民公共空间</w:t>
            </w:r>
          </w:p>
        </w:tc>
        <w:tc>
          <w:tcPr>
            <w:tcW w:w="2129" w:type="dxa"/>
            <w:vAlign w:val="center"/>
          </w:tcPr>
          <w:p w14:paraId="25080C6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1214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1B463A15">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Pr>
          <w:p w14:paraId="247DDD6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vAlign w:val="center"/>
          </w:tcPr>
          <w:p w14:paraId="6421172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sz w:val="21"/>
                <w:szCs w:val="21"/>
                <w:vertAlign w:val="baseline"/>
                <w:lang w:val="en-US" w:eastAsia="zh-CN"/>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完善乡村景观设施</w:t>
            </w:r>
          </w:p>
        </w:tc>
        <w:tc>
          <w:tcPr>
            <w:tcW w:w="2129" w:type="dxa"/>
            <w:vAlign w:val="center"/>
          </w:tcPr>
          <w:p w14:paraId="58B6438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5090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7AA9F48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Pr>
          <w:p w14:paraId="4C46FAA6">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vAlign w:val="center"/>
          </w:tcPr>
          <w:p w14:paraId="273F57E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sz w:val="21"/>
                <w:szCs w:val="21"/>
                <w:vertAlign w:val="baseline"/>
                <w:lang w:val="en-US" w:eastAsia="zh-CN"/>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完善收益保障机制</w:t>
            </w:r>
          </w:p>
        </w:tc>
        <w:tc>
          <w:tcPr>
            <w:tcW w:w="2129" w:type="dxa"/>
            <w:vAlign w:val="center"/>
          </w:tcPr>
          <w:p w14:paraId="7053532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4A49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50866C9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Pr>
          <w:p w14:paraId="057A948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vAlign w:val="center"/>
          </w:tcPr>
          <w:p w14:paraId="56F1218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sz w:val="21"/>
                <w:szCs w:val="21"/>
                <w:vertAlign w:val="baseline"/>
                <w:lang w:val="en-US" w:eastAsia="zh-CN"/>
              </w:rPr>
            </w:pPr>
            <w:r>
              <w:rPr>
                <w:rFonts w:hint="default" w:ascii="Times New Roman" w:hAnsi="Times New Roman" w:eastAsia="仿宋_GB2312" w:cs="Times New Roman"/>
                <w:b w:val="0"/>
                <w:bCs w:val="0"/>
                <w:i w:val="0"/>
                <w:iCs w:val="0"/>
                <w:color w:val="auto"/>
                <w:kern w:val="0"/>
                <w:sz w:val="21"/>
                <w:szCs w:val="21"/>
                <w:u w:val="none"/>
                <w:lang w:val="en-US" w:eastAsia="zh-CN" w:bidi="ar"/>
              </w:rPr>
              <w:t>探索设施运管机制</w:t>
            </w:r>
          </w:p>
        </w:tc>
        <w:tc>
          <w:tcPr>
            <w:tcW w:w="2129" w:type="dxa"/>
            <w:vAlign w:val="center"/>
          </w:tcPr>
          <w:p w14:paraId="3A494F2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2DCA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4342D4CE">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Pr>
          <w:p w14:paraId="28D231D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vAlign w:val="center"/>
          </w:tcPr>
          <w:p w14:paraId="3F3EB53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sz w:val="21"/>
                <w:szCs w:val="21"/>
                <w:vertAlign w:val="baseline"/>
                <w:lang w:val="en-US" w:eastAsia="zh-CN"/>
              </w:rPr>
            </w:pPr>
            <w:r>
              <w:rPr>
                <w:rFonts w:hint="default" w:ascii="Times New Roman" w:hAnsi="Times New Roman" w:eastAsia="仿宋_GB2312" w:cs="Times New Roman"/>
                <w:b w:val="0"/>
                <w:bCs w:val="0"/>
                <w:i w:val="0"/>
                <w:iCs w:val="0"/>
                <w:color w:val="auto"/>
                <w:kern w:val="0"/>
                <w:sz w:val="21"/>
                <w:szCs w:val="21"/>
                <w:u w:val="none"/>
                <w:lang w:val="en-US" w:eastAsia="zh-CN" w:bidi="ar"/>
              </w:rPr>
              <w:t>探索闽台融合措施</w:t>
            </w:r>
          </w:p>
        </w:tc>
        <w:tc>
          <w:tcPr>
            <w:tcW w:w="2129" w:type="dxa"/>
            <w:vAlign w:val="center"/>
          </w:tcPr>
          <w:p w14:paraId="23ACE0E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6351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4ED0994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restart"/>
          </w:tcPr>
          <w:p w14:paraId="0AFEBDE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r>
              <w:rPr>
                <w:rFonts w:hint="default" w:ascii="Times New Roman" w:hAnsi="Times New Roman" w:eastAsia="仿宋_GB2312" w:cs="Times New Roman"/>
                <w:b w:val="0"/>
                <w:bCs/>
                <w:sz w:val="21"/>
                <w:szCs w:val="21"/>
                <w:lang w:val="en-US" w:eastAsia="zh-CN"/>
              </w:rPr>
              <w:t>闽台乡建乡创合作样板村</w:t>
            </w:r>
          </w:p>
        </w:tc>
        <w:tc>
          <w:tcPr>
            <w:tcW w:w="2129" w:type="dxa"/>
            <w:shd w:val="clear" w:color="auto" w:fill="auto"/>
            <w:vAlign w:val="center"/>
          </w:tcPr>
          <w:p w14:paraId="138729E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kern w:val="2"/>
                <w:sz w:val="21"/>
                <w:szCs w:val="21"/>
                <w:vertAlign w:val="baseline"/>
                <w:lang w:val="en-US" w:eastAsia="zh-CN" w:bidi="ar-SA"/>
              </w:rPr>
            </w:pPr>
            <w:r>
              <w:rPr>
                <w:rFonts w:hint="default" w:ascii="Times New Roman" w:hAnsi="Times New Roman" w:eastAsia="仿宋_GB2312" w:cs="Times New Roman"/>
                <w:b w:val="0"/>
                <w:bCs w:val="0"/>
                <w:i w:val="0"/>
                <w:iCs w:val="0"/>
                <w:color w:val="auto"/>
                <w:kern w:val="0"/>
                <w:sz w:val="21"/>
                <w:szCs w:val="21"/>
                <w:u w:val="none"/>
                <w:lang w:val="en-US" w:eastAsia="zh-CN" w:bidi="ar"/>
              </w:rPr>
              <w:t>提升人居环境质量</w:t>
            </w:r>
          </w:p>
        </w:tc>
        <w:tc>
          <w:tcPr>
            <w:tcW w:w="2129" w:type="dxa"/>
            <w:shd w:val="clear" w:color="auto" w:fill="auto"/>
            <w:vAlign w:val="center"/>
          </w:tcPr>
          <w:p w14:paraId="5982D6D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2DE6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0A28731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Pr>
          <w:p w14:paraId="4E4E805E">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shd w:val="clear" w:color="auto" w:fill="auto"/>
            <w:vAlign w:val="center"/>
          </w:tcPr>
          <w:p w14:paraId="104B280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kern w:val="2"/>
                <w:sz w:val="21"/>
                <w:szCs w:val="21"/>
                <w:vertAlign w:val="baseline"/>
                <w:lang w:val="en-US" w:eastAsia="zh-CN" w:bidi="ar-SA"/>
              </w:rPr>
            </w:pPr>
            <w:r>
              <w:rPr>
                <w:rFonts w:hint="default" w:ascii="Times New Roman" w:hAnsi="Times New Roman" w:eastAsia="仿宋_GB2312" w:cs="Times New Roman"/>
                <w:b w:val="0"/>
                <w:bCs w:val="0"/>
                <w:i w:val="0"/>
                <w:iCs w:val="0"/>
                <w:color w:val="auto"/>
                <w:kern w:val="0"/>
                <w:sz w:val="21"/>
                <w:szCs w:val="21"/>
                <w:u w:val="none"/>
                <w:lang w:val="en-US" w:eastAsia="zh-CN" w:bidi="ar"/>
              </w:rPr>
              <w:t>开展三类农房改造</w:t>
            </w:r>
          </w:p>
        </w:tc>
        <w:tc>
          <w:tcPr>
            <w:tcW w:w="2129" w:type="dxa"/>
            <w:shd w:val="clear" w:color="auto" w:fill="auto"/>
            <w:vAlign w:val="center"/>
          </w:tcPr>
          <w:p w14:paraId="6F41E95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3D5F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7F355CF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Pr>
          <w:p w14:paraId="754AF29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shd w:val="clear" w:color="auto" w:fill="auto"/>
            <w:vAlign w:val="center"/>
          </w:tcPr>
          <w:p w14:paraId="037DBB4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kern w:val="2"/>
                <w:sz w:val="21"/>
                <w:szCs w:val="21"/>
                <w:vertAlign w:val="baseline"/>
                <w:lang w:val="en-US" w:eastAsia="zh-CN" w:bidi="ar-SA"/>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完善惠民公共空间</w:t>
            </w:r>
          </w:p>
        </w:tc>
        <w:tc>
          <w:tcPr>
            <w:tcW w:w="2129" w:type="dxa"/>
            <w:shd w:val="clear" w:color="auto" w:fill="auto"/>
            <w:vAlign w:val="center"/>
          </w:tcPr>
          <w:p w14:paraId="11D7C00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50A6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2714641B">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vAlign w:val="top"/>
          </w:tcPr>
          <w:p w14:paraId="0A28C5B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shd w:val="clear" w:color="auto" w:fill="auto"/>
            <w:vAlign w:val="center"/>
          </w:tcPr>
          <w:p w14:paraId="578F388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kern w:val="2"/>
                <w:sz w:val="21"/>
                <w:szCs w:val="21"/>
                <w:vertAlign w:val="baseline"/>
                <w:lang w:val="en-US" w:eastAsia="zh-CN" w:bidi="ar-SA"/>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完善乡村景观设施</w:t>
            </w:r>
          </w:p>
        </w:tc>
        <w:tc>
          <w:tcPr>
            <w:tcW w:w="2129" w:type="dxa"/>
            <w:shd w:val="clear" w:color="auto" w:fill="auto"/>
            <w:vAlign w:val="center"/>
          </w:tcPr>
          <w:p w14:paraId="6D8DF86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6D56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51515ACE">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vAlign w:val="top"/>
          </w:tcPr>
          <w:p w14:paraId="493C34C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shd w:val="clear" w:color="auto" w:fill="auto"/>
            <w:vAlign w:val="center"/>
          </w:tcPr>
          <w:p w14:paraId="75F7859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kern w:val="2"/>
                <w:sz w:val="21"/>
                <w:szCs w:val="21"/>
                <w:vertAlign w:val="baseline"/>
                <w:lang w:val="en-US" w:eastAsia="zh-CN" w:bidi="ar-SA"/>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完善收益保障机制</w:t>
            </w:r>
          </w:p>
        </w:tc>
        <w:tc>
          <w:tcPr>
            <w:tcW w:w="2129" w:type="dxa"/>
            <w:shd w:val="clear" w:color="auto" w:fill="auto"/>
            <w:vAlign w:val="center"/>
          </w:tcPr>
          <w:p w14:paraId="26ECB30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089F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383E13C7">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vAlign w:val="top"/>
          </w:tcPr>
          <w:p w14:paraId="53FA251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shd w:val="clear" w:color="auto" w:fill="auto"/>
            <w:vAlign w:val="center"/>
          </w:tcPr>
          <w:p w14:paraId="00BC92E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kern w:val="2"/>
                <w:sz w:val="21"/>
                <w:szCs w:val="21"/>
                <w:vertAlign w:val="baseline"/>
                <w:lang w:val="en-US" w:eastAsia="zh-CN" w:bidi="ar-SA"/>
              </w:rPr>
            </w:pPr>
            <w:r>
              <w:rPr>
                <w:rFonts w:hint="default" w:ascii="Times New Roman" w:hAnsi="Times New Roman" w:eastAsia="仿宋_GB2312" w:cs="Times New Roman"/>
                <w:b w:val="0"/>
                <w:bCs w:val="0"/>
                <w:i w:val="0"/>
                <w:iCs w:val="0"/>
                <w:color w:val="auto"/>
                <w:kern w:val="0"/>
                <w:sz w:val="21"/>
                <w:szCs w:val="21"/>
                <w:u w:val="none"/>
                <w:lang w:val="en-US" w:eastAsia="zh-CN" w:bidi="ar"/>
              </w:rPr>
              <w:t>探索设施运管机制</w:t>
            </w:r>
          </w:p>
        </w:tc>
        <w:tc>
          <w:tcPr>
            <w:tcW w:w="2129" w:type="dxa"/>
            <w:shd w:val="clear" w:color="auto" w:fill="auto"/>
            <w:vAlign w:val="center"/>
          </w:tcPr>
          <w:p w14:paraId="197E69A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4B5B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448AE2C3">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bottom w:val="single" w:color="auto" w:sz="4" w:space="0"/>
            </w:tcBorders>
            <w:vAlign w:val="top"/>
          </w:tcPr>
          <w:p w14:paraId="00E39A13">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129" w:type="dxa"/>
            <w:shd w:val="clear" w:color="auto" w:fill="auto"/>
            <w:vAlign w:val="center"/>
          </w:tcPr>
          <w:p w14:paraId="216ECEF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color w:val="auto"/>
                <w:kern w:val="2"/>
                <w:sz w:val="21"/>
                <w:szCs w:val="21"/>
                <w:vertAlign w:val="baseline"/>
                <w:lang w:val="en-US" w:eastAsia="zh-CN" w:bidi="ar-SA"/>
              </w:rPr>
            </w:pPr>
            <w:r>
              <w:rPr>
                <w:rFonts w:hint="default" w:ascii="Times New Roman" w:hAnsi="Times New Roman" w:eastAsia="仿宋_GB2312" w:cs="Times New Roman"/>
                <w:b w:val="0"/>
                <w:bCs w:val="0"/>
                <w:i w:val="0"/>
                <w:iCs w:val="0"/>
                <w:color w:val="auto"/>
                <w:kern w:val="0"/>
                <w:sz w:val="21"/>
                <w:szCs w:val="21"/>
                <w:u w:val="none"/>
                <w:lang w:val="en-US" w:eastAsia="zh-CN" w:bidi="ar"/>
              </w:rPr>
              <w:t>探索闽台融合措施</w:t>
            </w:r>
          </w:p>
        </w:tc>
        <w:tc>
          <w:tcPr>
            <w:tcW w:w="2129" w:type="dxa"/>
            <w:shd w:val="clear" w:color="auto" w:fill="auto"/>
            <w:vAlign w:val="center"/>
          </w:tcPr>
          <w:p w14:paraId="7E641C7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055F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0812DB05">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restart"/>
            <w:tcBorders>
              <w:top w:val="single" w:color="auto" w:sz="4" w:space="0"/>
              <w:left w:val="single" w:color="auto" w:sz="4" w:space="0"/>
              <w:right w:val="single" w:color="auto" w:sz="4" w:space="0"/>
            </w:tcBorders>
            <w:vAlign w:val="top"/>
          </w:tcPr>
          <w:p w14:paraId="7C50AEA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闽台乡建乡创合作样板县</w:t>
            </w:r>
          </w:p>
        </w:tc>
        <w:tc>
          <w:tcPr>
            <w:tcW w:w="2129" w:type="dxa"/>
            <w:vAlign w:val="center"/>
          </w:tcPr>
          <w:p w14:paraId="0E93F6C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提升人居环境质量</w:t>
            </w:r>
          </w:p>
        </w:tc>
        <w:tc>
          <w:tcPr>
            <w:tcW w:w="2129" w:type="dxa"/>
            <w:vAlign w:val="center"/>
          </w:tcPr>
          <w:p w14:paraId="4FFD9CD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5B8F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6BA5EB1F">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683367C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30AA1DF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开展三类农房改造</w:t>
            </w:r>
          </w:p>
        </w:tc>
        <w:tc>
          <w:tcPr>
            <w:tcW w:w="2129" w:type="dxa"/>
            <w:vAlign w:val="center"/>
          </w:tcPr>
          <w:p w14:paraId="1924FF7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153F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3A8C1E12">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1DA5050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70FE81C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完善惠民公共空间</w:t>
            </w:r>
          </w:p>
        </w:tc>
        <w:tc>
          <w:tcPr>
            <w:tcW w:w="2129" w:type="dxa"/>
            <w:vAlign w:val="center"/>
          </w:tcPr>
          <w:p w14:paraId="7DF5108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6AD3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7AC7B91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5C7DF8F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513A9E0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完善乡村景观设施</w:t>
            </w:r>
          </w:p>
        </w:tc>
        <w:tc>
          <w:tcPr>
            <w:tcW w:w="2129" w:type="dxa"/>
            <w:vAlign w:val="center"/>
          </w:tcPr>
          <w:p w14:paraId="3AF707C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165E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265850AC">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53C3156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3BC4753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完善收益保障机制</w:t>
            </w:r>
          </w:p>
        </w:tc>
        <w:tc>
          <w:tcPr>
            <w:tcW w:w="2129" w:type="dxa"/>
            <w:vAlign w:val="center"/>
          </w:tcPr>
          <w:p w14:paraId="4E58BD0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07B1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40B79D6D">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389AC04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3518C3B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探索设施运管机制</w:t>
            </w:r>
          </w:p>
        </w:tc>
        <w:tc>
          <w:tcPr>
            <w:tcW w:w="2129" w:type="dxa"/>
            <w:vAlign w:val="center"/>
          </w:tcPr>
          <w:p w14:paraId="3AB621A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413E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03BA7A48">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7A94893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184139E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探索闽台融合措施</w:t>
            </w:r>
          </w:p>
        </w:tc>
        <w:tc>
          <w:tcPr>
            <w:tcW w:w="2129" w:type="dxa"/>
            <w:vAlign w:val="center"/>
          </w:tcPr>
          <w:p w14:paraId="3158C20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62A7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6DBF03DA">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restart"/>
            <w:tcBorders>
              <w:left w:val="single" w:color="auto" w:sz="4" w:space="0"/>
              <w:right w:val="single" w:color="auto" w:sz="4" w:space="0"/>
            </w:tcBorders>
            <w:vAlign w:val="top"/>
          </w:tcPr>
          <w:p w14:paraId="4E81DB7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乡镇生活污水治理提升县</w:t>
            </w:r>
          </w:p>
        </w:tc>
        <w:tc>
          <w:tcPr>
            <w:tcW w:w="2129" w:type="dxa"/>
            <w:vAlign w:val="center"/>
          </w:tcPr>
          <w:p w14:paraId="4D054F8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新建乡镇生活污水</w:t>
            </w:r>
          </w:p>
          <w:p w14:paraId="78C0AE8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管网</w:t>
            </w:r>
          </w:p>
        </w:tc>
        <w:tc>
          <w:tcPr>
            <w:tcW w:w="2129" w:type="dxa"/>
            <w:vAlign w:val="center"/>
          </w:tcPr>
          <w:p w14:paraId="74A7109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新建乡镇生活污水管网(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p>
        </w:tc>
      </w:tr>
      <w:tr w14:paraId="7A28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7E9DEF26">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7A7B0F8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53C2A12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修复改造乡镇生活污水管网</w:t>
            </w:r>
          </w:p>
        </w:tc>
        <w:tc>
          <w:tcPr>
            <w:tcW w:w="2129" w:type="dxa"/>
            <w:vAlign w:val="center"/>
          </w:tcPr>
          <w:p w14:paraId="3E15DC2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修复改造乡镇生活污水管网</w:t>
            </w:r>
            <w:r>
              <w:rPr>
                <w:rFonts w:hint="default" w:ascii="Times New Roman" w:hAnsi="Times New Roman" w:eastAsia="仿宋_GB2312" w:cs="Times New Roman"/>
                <w:b w:val="0"/>
                <w:bCs w:val="0"/>
                <w:i w:val="0"/>
                <w:iCs w:val="0"/>
                <w:color w:val="000000"/>
                <w:kern w:val="0"/>
                <w:sz w:val="21"/>
                <w:szCs w:val="21"/>
                <w:u w:val="none"/>
                <w:lang w:val="en-US" w:eastAsia="zh-CN" w:bidi="ar"/>
              </w:rPr>
              <w:t xml:space="preserve">( </w:t>
            </w:r>
            <w:r>
              <w:rPr>
                <w:rFonts w:hint="eastAsia" w:ascii="Times New Roman" w:hAnsi="Times New Roman" w:cs="Times New Roman"/>
                <w:b w:val="0"/>
                <w:bCs w:val="0"/>
                <w:i w:val="0"/>
                <w:iCs w:val="0"/>
                <w:color w:val="000000"/>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000000"/>
                <w:kern w:val="0"/>
                <w:sz w:val="21"/>
                <w:szCs w:val="21"/>
                <w:u w:val="none"/>
                <w:lang w:val="en-US" w:eastAsia="zh-CN" w:bidi="ar"/>
              </w:rPr>
              <w:t>)公里</w:t>
            </w:r>
          </w:p>
        </w:tc>
      </w:tr>
      <w:tr w14:paraId="6AFC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53010FA4">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700A957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11E9872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乡镇生活污水处理厂站改造提升</w:t>
            </w:r>
          </w:p>
        </w:tc>
        <w:tc>
          <w:tcPr>
            <w:tcW w:w="2129" w:type="dxa"/>
            <w:vAlign w:val="center"/>
          </w:tcPr>
          <w:p w14:paraId="475FE56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规模</w:t>
            </w:r>
          </w:p>
        </w:tc>
      </w:tr>
      <w:tr w14:paraId="7A0C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149D28E1">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0FE0857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39DB0AF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其他设施改造提升（泵站）</w:t>
            </w:r>
          </w:p>
        </w:tc>
        <w:tc>
          <w:tcPr>
            <w:tcW w:w="2129" w:type="dxa"/>
            <w:vAlign w:val="center"/>
          </w:tcPr>
          <w:p w14:paraId="00D9F43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规模</w:t>
            </w:r>
          </w:p>
        </w:tc>
      </w:tr>
      <w:tr w14:paraId="72DD8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0F3825D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restart"/>
            <w:tcBorders>
              <w:left w:val="single" w:color="auto" w:sz="4" w:space="0"/>
              <w:right w:val="single" w:color="auto" w:sz="4" w:space="0"/>
            </w:tcBorders>
            <w:vAlign w:val="top"/>
          </w:tcPr>
          <w:p w14:paraId="0E626C4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农村生活垃圾治理试点县</w:t>
            </w:r>
          </w:p>
        </w:tc>
        <w:tc>
          <w:tcPr>
            <w:tcW w:w="2129" w:type="dxa"/>
            <w:vAlign w:val="center"/>
          </w:tcPr>
          <w:p w14:paraId="7E017F3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生活垃圾中转站新建/改造</w:t>
            </w:r>
          </w:p>
        </w:tc>
        <w:tc>
          <w:tcPr>
            <w:tcW w:w="2129" w:type="dxa"/>
            <w:vAlign w:val="center"/>
          </w:tcPr>
          <w:p w14:paraId="75ED714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新建（</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auto"/>
                <w:kern w:val="0"/>
                <w:sz w:val="21"/>
                <w:szCs w:val="21"/>
                <w:u w:val="none"/>
                <w:lang w:val="en-US" w:eastAsia="zh-CN" w:bidi="ar"/>
              </w:rPr>
              <w:t xml:space="preserve"> ）个</w:t>
            </w:r>
          </w:p>
          <w:p w14:paraId="5665C6E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 xml:space="preserve">改造（ </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仿宋_GB2312" w:cs="Times New Roman"/>
                <w:b w:val="0"/>
                <w:bCs w:val="0"/>
                <w:i w:val="0"/>
                <w:iCs w:val="0"/>
                <w:color w:val="auto"/>
                <w:kern w:val="0"/>
                <w:sz w:val="21"/>
                <w:szCs w:val="21"/>
                <w:u w:val="none"/>
                <w:lang w:val="en-US" w:eastAsia="zh-CN" w:bidi="ar"/>
              </w:rPr>
              <w:t>）个</w:t>
            </w:r>
          </w:p>
        </w:tc>
      </w:tr>
      <w:tr w14:paraId="70C9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451" w:type="dxa"/>
            <w:vMerge w:val="continue"/>
          </w:tcPr>
          <w:p w14:paraId="570D2665">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223F7B0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0C17B13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生活垃圾收集设施</w:t>
            </w:r>
          </w:p>
          <w:p w14:paraId="25466F3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采购</w:t>
            </w:r>
          </w:p>
        </w:tc>
        <w:tc>
          <w:tcPr>
            <w:tcW w:w="2129" w:type="dxa"/>
            <w:vAlign w:val="center"/>
          </w:tcPr>
          <w:p w14:paraId="4A95BB3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r w14:paraId="2D4C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1" w:type="dxa"/>
            <w:vMerge w:val="continue"/>
          </w:tcPr>
          <w:p w14:paraId="465F3800">
            <w:pPr>
              <w:pStyle w:val="10"/>
              <w:keepNext w:val="0"/>
              <w:keepLines w:val="0"/>
              <w:pageBreakBefore w:val="0"/>
              <w:numPr>
                <w:ilvl w:val="0"/>
                <w:numId w:val="0"/>
              </w:numPr>
              <w:kinsoku/>
              <w:wordWrap/>
              <w:overflowPunct/>
              <w:topLinePunct w:val="0"/>
              <w:autoSpaceDE/>
              <w:autoSpaceDN/>
              <w:bidi w:val="0"/>
              <w:adjustRightInd/>
              <w:snapToGrid/>
              <w:spacing w:line="340" w:lineRule="exact"/>
              <w:ind w:left="0" w:leftChars="0" w:right="0" w:rightChars="0" w:firstLine="0" w:firstLineChars="0"/>
              <w:outlineLvl w:val="9"/>
              <w:rPr>
                <w:rFonts w:hint="default" w:ascii="Times New Roman" w:hAnsi="Times New Roman" w:eastAsia="仿宋_GB2312" w:cs="Times New Roman"/>
                <w:b w:val="0"/>
                <w:bCs/>
                <w:sz w:val="21"/>
                <w:szCs w:val="21"/>
                <w:vertAlign w:val="baseline"/>
                <w:lang w:val="en-US" w:eastAsia="zh-CN"/>
              </w:rPr>
            </w:pPr>
          </w:p>
        </w:tc>
        <w:tc>
          <w:tcPr>
            <w:tcW w:w="2810" w:type="dxa"/>
            <w:vMerge w:val="continue"/>
            <w:tcBorders>
              <w:left w:val="single" w:color="auto" w:sz="4" w:space="0"/>
              <w:right w:val="single" w:color="auto" w:sz="4" w:space="0"/>
            </w:tcBorders>
            <w:vAlign w:val="top"/>
          </w:tcPr>
          <w:p w14:paraId="7150267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c>
          <w:tcPr>
            <w:tcW w:w="2129" w:type="dxa"/>
            <w:vAlign w:val="center"/>
          </w:tcPr>
          <w:p w14:paraId="0B2C270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生活垃圾处理设备</w:t>
            </w:r>
          </w:p>
          <w:p w14:paraId="565C6B0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采购</w:t>
            </w:r>
          </w:p>
        </w:tc>
        <w:tc>
          <w:tcPr>
            <w:tcW w:w="2129" w:type="dxa"/>
            <w:vAlign w:val="center"/>
          </w:tcPr>
          <w:p w14:paraId="7E4E008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default" w:ascii="Times New Roman" w:hAnsi="Times New Roman" w:eastAsia="仿宋_GB2312" w:cs="Times New Roman"/>
                <w:b w:val="0"/>
                <w:bCs w:val="0"/>
                <w:i w:val="0"/>
                <w:iCs w:val="0"/>
                <w:color w:val="auto"/>
                <w:kern w:val="0"/>
                <w:sz w:val="21"/>
                <w:szCs w:val="21"/>
                <w:u w:val="none"/>
                <w:lang w:val="en-US" w:eastAsia="zh-CN" w:bidi="ar"/>
              </w:rPr>
            </w:pPr>
          </w:p>
        </w:tc>
      </w:tr>
    </w:tbl>
    <w:p w14:paraId="6A61F009">
      <w:pPr>
        <w:pageBreakBefore w:val="0"/>
        <w:widowControl w:val="0"/>
        <w:kinsoku/>
        <w:wordWrap/>
        <w:overflowPunct/>
        <w:topLinePunct w:val="0"/>
        <w:autoSpaceDE/>
        <w:autoSpaceDN/>
        <w:bidi w:val="0"/>
        <w:adjustRightInd/>
        <w:snapToGrid/>
        <w:spacing w:line="520" w:lineRule="exact"/>
        <w:ind w:left="0" w:leftChars="0" w:right="0" w:rightChars="0" w:firstLine="42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kern w:val="2"/>
          <w:sz w:val="32"/>
          <w:szCs w:val="32"/>
          <w:lang w:val="en-US" w:eastAsia="zh-CN" w:bidi="ar-SA"/>
        </w:rPr>
        <w:t>在信息项目基本信息的基础上，</w:t>
      </w:r>
      <w:r>
        <w:rPr>
          <w:rFonts w:hint="default" w:ascii="Times New Roman" w:hAnsi="Times New Roman" w:cs="Times New Roman"/>
          <w:b w:val="0"/>
          <w:bCs/>
          <w:kern w:val="2"/>
          <w:sz w:val="32"/>
          <w:szCs w:val="32"/>
          <w:lang w:val="en-US" w:eastAsia="zh-CN" w:bidi="ar-SA"/>
        </w:rPr>
        <w:t>依据</w:t>
      </w:r>
      <w:r>
        <w:rPr>
          <w:rFonts w:hint="default" w:ascii="Times New Roman" w:hAnsi="Times New Roman" w:eastAsia="仿宋_GB2312" w:cs="Times New Roman"/>
          <w:b w:val="0"/>
          <w:bCs/>
          <w:kern w:val="2"/>
          <w:sz w:val="32"/>
          <w:szCs w:val="32"/>
          <w:lang w:val="en-US" w:eastAsia="zh-CN" w:bidi="ar-SA"/>
        </w:rPr>
        <w:t>不同类别的实际需求，扩展新增相应的信息项用于填报。</w:t>
      </w:r>
    </w:p>
    <w:p w14:paraId="2618F906">
      <w:pPr>
        <w:pStyle w:val="5"/>
        <w:pageBreakBefore w:val="0"/>
        <w:widowControl w:val="0"/>
        <w:numPr>
          <w:ilvl w:val="1"/>
          <w:numId w:val="0"/>
        </w:numPr>
        <w:tabs>
          <w:tab w:val="clear" w:pos="425"/>
        </w:tabs>
        <w:kinsoku/>
        <w:wordWrap/>
        <w:overflowPunct/>
        <w:topLinePunct w:val="0"/>
        <w:autoSpaceDE/>
        <w:autoSpaceDN/>
        <w:bidi w:val="0"/>
        <w:adjustRightInd/>
        <w:snapToGrid/>
        <w:spacing w:beforeLines="0" w:afterLines="0" w:line="600" w:lineRule="exact"/>
        <w:ind w:left="0" w:leftChars="0" w:right="0" w:rightChars="0" w:firstLine="643" w:firstLineChars="200"/>
        <w:jc w:val="both"/>
        <w:textAlignment w:val="auto"/>
        <w:rPr>
          <w:rFonts w:hint="default" w:ascii="Times New Roman" w:hAnsi="Times New Roman" w:eastAsia="楷体_GB2312" w:cs="Times New Roman"/>
          <w:sz w:val="32"/>
          <w:szCs w:val="32"/>
          <w:lang w:val="en-US" w:eastAsia="zh-CN"/>
        </w:rPr>
      </w:pPr>
      <w:bookmarkStart w:id="27" w:name="_Toc21015"/>
      <w:r>
        <w:rPr>
          <w:rFonts w:hint="default" w:ascii="Times New Roman" w:hAnsi="Times New Roman" w:eastAsia="楷体_GB2312" w:cs="Times New Roman"/>
          <w:sz w:val="32"/>
          <w:szCs w:val="32"/>
          <w:lang w:val="en-US" w:eastAsia="zh-CN"/>
        </w:rPr>
        <w:t>（三）优化统计报表功能</w:t>
      </w:r>
      <w:bookmarkEnd w:id="27"/>
    </w:p>
    <w:p w14:paraId="58C3DAB7">
      <w:pPr>
        <w:pStyle w:val="6"/>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sz w:val="32"/>
          <w:szCs w:val="32"/>
          <w:lang w:val="en-US" w:eastAsia="zh-CN"/>
        </w:rPr>
        <w:t>新增城市类样板工程报表及城市“断头路”贯通工作情况表，优化项目情况一览表。</w:t>
      </w:r>
    </w:p>
    <w:p w14:paraId="3B07E811">
      <w:pPr>
        <w:pStyle w:val="8"/>
        <w:pageBreakBefore w:val="0"/>
        <w:widowControl w:val="0"/>
        <w:numPr>
          <w:ilvl w:val="3"/>
          <w:numId w:val="0"/>
        </w:numPr>
        <w:kinsoku/>
        <w:wordWrap/>
        <w:overflowPunct/>
        <w:topLinePunct w:val="0"/>
        <w:autoSpaceDE/>
        <w:autoSpaceDN/>
        <w:bidi w:val="0"/>
        <w:adjustRightInd/>
        <w:snapToGrid/>
        <w:spacing w:before="0" w:after="0" w:line="60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28" w:name="_Toc22205"/>
      <w:bookmarkStart w:id="29" w:name="_Toc24844"/>
      <w:r>
        <w:rPr>
          <w:rFonts w:hint="default" w:ascii="Times New Roman" w:hAnsi="Times New Roman" w:eastAsia="仿宋_GB2312" w:cs="Times New Roman"/>
          <w:sz w:val="32"/>
          <w:szCs w:val="32"/>
          <w:lang w:val="en-US" w:eastAsia="zh-CN"/>
        </w:rPr>
        <w:t>1</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新增城市类样板工程统计报表</w:t>
      </w:r>
      <w:bookmarkEnd w:id="28"/>
      <w:bookmarkEnd w:id="29"/>
    </w:p>
    <w:p w14:paraId="3922514A">
      <w:pPr>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可根据选定的年份、月份，精准统计全省城市类样板项目的全维度数据。</w:t>
      </w:r>
    </w:p>
    <w:p w14:paraId="1F8AC6F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支持两种查询模式：一是按月汇总累计查询；二是逐月明细查询，将两种查询模式叠加形成一张大表。</w:t>
      </w:r>
    </w:p>
    <w:p w14:paraId="5A0AAC1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支持将统计生成的报表导出为Excel文档。</w:t>
      </w:r>
    </w:p>
    <w:p w14:paraId="3B58B3FF">
      <w:pPr>
        <w:pageBreakBefore w:val="0"/>
        <w:widowControl w:val="0"/>
        <w:kinsoku/>
        <w:wordWrap/>
        <w:overflowPunct/>
        <w:topLinePunct w:val="0"/>
        <w:autoSpaceDE/>
        <w:autoSpaceDN/>
        <w:bidi w:val="0"/>
        <w:adjustRightInd/>
        <w:snapToGrid/>
        <w:spacing w:line="600" w:lineRule="exact"/>
        <w:ind w:left="0" w:leftChars="0" w:right="0" w:rightChars="0" w:firstLine="420"/>
        <w:jc w:val="both"/>
        <w:textAlignment w:val="auto"/>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汇总累计统计</w:t>
      </w:r>
      <w:bookmarkStart w:id="39" w:name="_GoBack"/>
      <w:bookmarkEnd w:id="39"/>
      <w:r>
        <w:rPr>
          <w:rFonts w:hint="eastAsia" w:cs="Times New Roman"/>
          <w:b w:val="0"/>
          <w:bCs/>
          <w:kern w:val="2"/>
          <w:sz w:val="32"/>
          <w:szCs w:val="32"/>
          <w:lang w:val="en-US" w:eastAsia="zh-CN" w:bidi="ar-SA"/>
        </w:rPr>
        <w:t>模板</w:t>
      </w:r>
      <w:r>
        <w:rPr>
          <w:rFonts w:hint="default" w:ascii="Times New Roman" w:hAnsi="Times New Roman" w:eastAsia="仿宋_GB2312" w:cs="Times New Roman"/>
          <w:b w:val="0"/>
          <w:bCs/>
          <w:kern w:val="2"/>
          <w:sz w:val="32"/>
          <w:szCs w:val="32"/>
          <w:lang w:val="en-US" w:eastAsia="zh-CN" w:bidi="ar-SA"/>
        </w:rPr>
        <w:t>如下：</w:t>
      </w:r>
    </w:p>
    <w:tbl>
      <w:tblPr>
        <w:tblStyle w:val="14"/>
        <w:tblW w:w="93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5"/>
        <w:gridCol w:w="535"/>
        <w:gridCol w:w="535"/>
        <w:gridCol w:w="535"/>
        <w:gridCol w:w="535"/>
        <w:gridCol w:w="667"/>
        <w:gridCol w:w="667"/>
        <w:gridCol w:w="667"/>
        <w:gridCol w:w="1171"/>
        <w:gridCol w:w="917"/>
        <w:gridCol w:w="455"/>
        <w:gridCol w:w="1010"/>
        <w:gridCol w:w="641"/>
        <w:gridCol w:w="457"/>
      </w:tblGrid>
      <w:tr w14:paraId="70431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87A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地市</w:t>
            </w: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3DEB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样板名称</w:t>
            </w: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823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年度计划投资</w:t>
            </w: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F852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A类项目年度计划投资</w:t>
            </w: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1461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年度计划补助资金</w:t>
            </w:r>
          </w:p>
        </w:tc>
        <w:tc>
          <w:tcPr>
            <w:tcW w:w="66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11182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1月至12月</w:t>
            </w:r>
          </w:p>
        </w:tc>
      </w:tr>
      <w:tr w14:paraId="0F673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71C7E">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1E14E">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7A44E">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7AEDF">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C8676">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48C3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累计完成投资</w:t>
            </w:r>
          </w:p>
        </w:tc>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4518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占年度计划比例</w:t>
            </w:r>
          </w:p>
        </w:tc>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6D4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排名</w:t>
            </w:r>
          </w:p>
        </w:tc>
        <w:tc>
          <w:tcPr>
            <w:tcW w:w="465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E7C31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其中</w:t>
            </w:r>
          </w:p>
        </w:tc>
      </w:tr>
      <w:tr w14:paraId="3E887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94DB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2292">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CE0D2">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06CA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56CCC">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90DC0">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12CDD">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9A8F3">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Times New Roman" w:hAnsi="Times New Roman" w:eastAsia="仿宋_GB2312" w:cs="Times New Roman"/>
                <w:i w:val="0"/>
                <w:iCs w:val="0"/>
                <w:color w:val="000000"/>
                <w:sz w:val="24"/>
                <w:szCs w:val="24"/>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DDD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A类项目累计完成投资</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6C6B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占A类计划比例</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7E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排名</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77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累计支付补助资金</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2CD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支付比例</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C7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排名</w:t>
            </w:r>
          </w:p>
        </w:tc>
      </w:tr>
    </w:tbl>
    <w:p w14:paraId="181F891E">
      <w:pPr>
        <w:pageBreakBefore w:val="0"/>
        <w:kinsoku/>
        <w:wordWrap/>
        <w:overflowPunct/>
        <w:topLinePunct w:val="0"/>
        <w:autoSpaceDE/>
        <w:autoSpaceDN/>
        <w:bidi w:val="0"/>
        <w:adjustRightInd/>
        <w:spacing w:line="520" w:lineRule="exact"/>
        <w:ind w:left="0" w:leftChars="0" w:right="0" w:rightChars="0" w:firstLine="420"/>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月度明细查询</w:t>
      </w:r>
      <w:r>
        <w:rPr>
          <w:rFonts w:hint="eastAsia" w:cs="Times New Roman"/>
          <w:sz w:val="24"/>
          <w:szCs w:val="24"/>
          <w:lang w:val="en-US" w:eastAsia="zh-CN"/>
        </w:rPr>
        <w:t>模板</w:t>
      </w:r>
      <w:r>
        <w:rPr>
          <w:rFonts w:hint="default" w:ascii="Times New Roman" w:hAnsi="Times New Roman" w:eastAsia="仿宋_GB2312" w:cs="Times New Roman"/>
          <w:sz w:val="24"/>
          <w:szCs w:val="24"/>
          <w:lang w:val="en-US" w:eastAsia="zh-CN"/>
        </w:rPr>
        <w:t>：</w:t>
      </w:r>
    </w:p>
    <w:tbl>
      <w:tblPr>
        <w:tblStyle w:val="14"/>
        <w:tblW w:w="92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1"/>
        <w:gridCol w:w="1531"/>
        <w:gridCol w:w="1484"/>
        <w:gridCol w:w="1531"/>
        <w:gridCol w:w="1719"/>
        <w:gridCol w:w="1433"/>
      </w:tblGrid>
      <w:tr w14:paraId="44AC5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6E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当月完成投资额</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01E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占年度计划比例</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23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A类项目</w:t>
            </w:r>
          </w:p>
          <w:p w14:paraId="4A68EE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投资额</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7F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占年度计划比例</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85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当月支付补助资金</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EC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完成比例</w:t>
            </w:r>
          </w:p>
        </w:tc>
      </w:tr>
    </w:tbl>
    <w:p w14:paraId="512F56FB">
      <w:pPr>
        <w:pStyle w:val="8"/>
        <w:pageBreakBefore w:val="0"/>
        <w:widowControl w:val="0"/>
        <w:numPr>
          <w:ilvl w:val="3"/>
          <w:numId w:val="0"/>
        </w:numPr>
        <w:kinsoku/>
        <w:wordWrap/>
        <w:overflowPunct/>
        <w:topLinePunct w:val="0"/>
        <w:autoSpaceDE/>
        <w:autoSpaceDN/>
        <w:bidi w:val="0"/>
        <w:adjustRightInd/>
        <w:snapToGrid/>
        <w:spacing w:before="0" w:after="0" w:line="60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30" w:name="_Toc31779"/>
      <w:bookmarkStart w:id="31" w:name="_Toc31404"/>
      <w:r>
        <w:rPr>
          <w:rFonts w:hint="default" w:ascii="Times New Roman" w:hAnsi="Times New Roman" w:eastAsia="仿宋_GB2312" w:cs="Times New Roman"/>
          <w:sz w:val="32"/>
          <w:szCs w:val="32"/>
          <w:lang w:val="en-US" w:eastAsia="zh-CN"/>
        </w:rPr>
        <w:t>2</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新增城市“断头路”贯通工作情况表</w:t>
      </w:r>
      <w:bookmarkEnd w:id="30"/>
      <w:bookmarkEnd w:id="31"/>
    </w:p>
    <w:p w14:paraId="1730964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支持按年份、月份筛选，统计全省各市城市“断头路”贯通工作进展，所有统计结果可导出为Excel文档。</w:t>
      </w:r>
    </w:p>
    <w:p w14:paraId="15AE6F7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统计</w:t>
      </w:r>
      <w:r>
        <w:rPr>
          <w:rFonts w:hint="eastAsia" w:cs="Times New Roman"/>
          <w:b w:val="0"/>
          <w:bCs/>
          <w:kern w:val="2"/>
          <w:sz w:val="32"/>
          <w:szCs w:val="32"/>
          <w:lang w:val="en-US" w:eastAsia="zh-CN" w:bidi="ar-SA"/>
        </w:rPr>
        <w:t>模板</w:t>
      </w:r>
      <w:r>
        <w:rPr>
          <w:rFonts w:hint="default" w:ascii="Times New Roman" w:hAnsi="Times New Roman" w:eastAsia="仿宋_GB2312" w:cs="Times New Roman"/>
          <w:b w:val="0"/>
          <w:bCs/>
          <w:kern w:val="2"/>
          <w:sz w:val="32"/>
          <w:szCs w:val="32"/>
          <w:lang w:val="en-US" w:eastAsia="zh-CN" w:bidi="ar-SA"/>
        </w:rPr>
        <w:t>如下：</w:t>
      </w:r>
    </w:p>
    <w:p w14:paraId="2F758E67">
      <w:pPr>
        <w:pStyle w:val="2"/>
        <w:rPr>
          <w:rFonts w:hint="default"/>
          <w:lang w:val="en-US" w:eastAsia="zh-CN"/>
        </w:rPr>
      </w:pPr>
    </w:p>
    <w:tbl>
      <w:tblPr>
        <w:tblStyle w:val="14"/>
        <w:tblW w:w="8671"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81"/>
        <w:gridCol w:w="305"/>
        <w:gridCol w:w="411"/>
        <w:gridCol w:w="427"/>
        <w:gridCol w:w="309"/>
        <w:gridCol w:w="309"/>
        <w:gridCol w:w="306"/>
        <w:gridCol w:w="394"/>
        <w:gridCol w:w="396"/>
        <w:gridCol w:w="348"/>
        <w:gridCol w:w="364"/>
        <w:gridCol w:w="348"/>
        <w:gridCol w:w="357"/>
        <w:gridCol w:w="466"/>
        <w:gridCol w:w="288"/>
        <w:gridCol w:w="288"/>
        <w:gridCol w:w="288"/>
        <w:gridCol w:w="288"/>
        <w:gridCol w:w="288"/>
        <w:gridCol w:w="294"/>
        <w:gridCol w:w="288"/>
        <w:gridCol w:w="288"/>
        <w:gridCol w:w="288"/>
        <w:gridCol w:w="339"/>
        <w:gridCol w:w="316"/>
        <w:gridCol w:w="397"/>
      </w:tblGrid>
      <w:tr w14:paraId="61656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5" w:hRule="atLeast"/>
        </w:trPr>
        <w:tc>
          <w:tcPr>
            <w:tcW w:w="8671" w:type="dxa"/>
            <w:gridSpan w:val="26"/>
            <w:tcBorders>
              <w:tl2br w:val="nil"/>
              <w:tr2bl w:val="nil"/>
            </w:tcBorders>
            <w:shd w:val="clear" w:color="auto" w:fill="auto"/>
            <w:vAlign w:val="center"/>
          </w:tcPr>
          <w:p w14:paraId="61E93C23">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18"/>
                <w:rFonts w:hint="default" w:ascii="Times New Roman" w:hAnsi="Times New Roman" w:cs="Times New Roman"/>
                <w:sz w:val="21"/>
                <w:szCs w:val="21"/>
                <w:lang w:val="en-US" w:eastAsia="zh-CN" w:bidi="ar"/>
              </w:rPr>
              <w:t>城市</w:t>
            </w:r>
            <w:r>
              <w:rPr>
                <w:rFonts w:hint="default" w:ascii="Times New Roman" w:hAnsi="Times New Roman" w:eastAsia="宋体" w:cs="Times New Roman"/>
                <w:i w:val="0"/>
                <w:iCs w:val="0"/>
                <w:color w:val="000000"/>
                <w:kern w:val="0"/>
                <w:sz w:val="21"/>
                <w:szCs w:val="21"/>
                <w:u w:val="none"/>
                <w:lang w:val="en-US" w:eastAsia="zh-CN" w:bidi="ar"/>
              </w:rPr>
              <w:t>“</w:t>
            </w:r>
            <w:r>
              <w:rPr>
                <w:rStyle w:val="18"/>
                <w:rFonts w:hint="default" w:ascii="Times New Roman" w:hAnsi="Times New Roman" w:cs="Times New Roman"/>
                <w:sz w:val="21"/>
                <w:szCs w:val="21"/>
                <w:lang w:val="en-US" w:eastAsia="zh-CN" w:bidi="ar"/>
              </w:rPr>
              <w:t>断头路</w:t>
            </w:r>
            <w:r>
              <w:rPr>
                <w:rFonts w:hint="default" w:ascii="Times New Roman" w:hAnsi="Times New Roman" w:eastAsia="宋体" w:cs="Times New Roman"/>
                <w:i w:val="0"/>
                <w:iCs w:val="0"/>
                <w:color w:val="000000"/>
                <w:kern w:val="0"/>
                <w:sz w:val="21"/>
                <w:szCs w:val="21"/>
                <w:u w:val="none"/>
                <w:lang w:val="en-US" w:eastAsia="zh-CN" w:bidi="ar"/>
              </w:rPr>
              <w:t>”</w:t>
            </w:r>
            <w:r>
              <w:rPr>
                <w:rStyle w:val="18"/>
                <w:rFonts w:hint="default" w:ascii="Times New Roman" w:hAnsi="Times New Roman" w:cs="Times New Roman"/>
                <w:sz w:val="21"/>
                <w:szCs w:val="21"/>
                <w:lang w:val="en-US" w:eastAsia="zh-CN" w:bidi="ar"/>
              </w:rPr>
              <w:t>贯通工作调度表</w:t>
            </w:r>
          </w:p>
        </w:tc>
      </w:tr>
      <w:tr w14:paraId="3FDA9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281" w:type="dxa"/>
            <w:vMerge w:val="restart"/>
            <w:tcBorders>
              <w:tl2br w:val="nil"/>
              <w:tr2bl w:val="nil"/>
            </w:tcBorders>
            <w:shd w:val="clear" w:color="auto" w:fill="auto"/>
            <w:vAlign w:val="center"/>
          </w:tcPr>
          <w:p w14:paraId="3687841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序号</w:t>
            </w:r>
          </w:p>
        </w:tc>
        <w:tc>
          <w:tcPr>
            <w:tcW w:w="305" w:type="dxa"/>
            <w:vMerge w:val="restart"/>
            <w:tcBorders>
              <w:tl2br w:val="nil"/>
              <w:tr2bl w:val="nil"/>
            </w:tcBorders>
            <w:shd w:val="clear" w:color="auto" w:fill="auto"/>
            <w:vAlign w:val="center"/>
          </w:tcPr>
          <w:p w14:paraId="09AFEAB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贯通年度</w:t>
            </w:r>
          </w:p>
        </w:tc>
        <w:tc>
          <w:tcPr>
            <w:tcW w:w="411" w:type="dxa"/>
            <w:vMerge w:val="restart"/>
            <w:tcBorders>
              <w:tl2br w:val="nil"/>
              <w:tr2bl w:val="nil"/>
            </w:tcBorders>
            <w:shd w:val="clear" w:color="auto" w:fill="auto"/>
            <w:vAlign w:val="center"/>
          </w:tcPr>
          <w:p w14:paraId="63E9F167">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县（市、区）</w:t>
            </w:r>
          </w:p>
        </w:tc>
        <w:tc>
          <w:tcPr>
            <w:tcW w:w="427" w:type="dxa"/>
            <w:vMerge w:val="restart"/>
            <w:tcBorders>
              <w:tl2br w:val="nil"/>
              <w:tr2bl w:val="nil"/>
            </w:tcBorders>
            <w:shd w:val="clear" w:color="auto" w:fill="auto"/>
            <w:vAlign w:val="center"/>
          </w:tcPr>
          <w:p w14:paraId="6FD8CD3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道路（路段）名称</w:t>
            </w:r>
          </w:p>
        </w:tc>
        <w:tc>
          <w:tcPr>
            <w:tcW w:w="309" w:type="dxa"/>
            <w:vMerge w:val="restart"/>
            <w:tcBorders>
              <w:tl2br w:val="nil"/>
              <w:tr2bl w:val="nil"/>
            </w:tcBorders>
            <w:shd w:val="clear" w:color="auto" w:fill="auto"/>
            <w:vAlign w:val="center"/>
          </w:tcPr>
          <w:p w14:paraId="12FB6BE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启动时间</w:t>
            </w:r>
          </w:p>
        </w:tc>
        <w:tc>
          <w:tcPr>
            <w:tcW w:w="309" w:type="dxa"/>
            <w:vMerge w:val="restart"/>
            <w:tcBorders>
              <w:tl2br w:val="nil"/>
              <w:tr2bl w:val="nil"/>
            </w:tcBorders>
            <w:shd w:val="clear" w:color="auto" w:fill="auto"/>
            <w:vAlign w:val="center"/>
          </w:tcPr>
          <w:p w14:paraId="36CA759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计划</w:t>
            </w:r>
            <w:r>
              <w:rPr>
                <w:rStyle w:val="20"/>
                <w:rFonts w:hint="default" w:ascii="Times New Roman" w:hAnsi="Times New Roman" w:eastAsia="宋体" w:cs="Times New Roman"/>
                <w:sz w:val="21"/>
                <w:szCs w:val="21"/>
                <w:lang w:val="en-US" w:eastAsia="zh-CN" w:bidi="ar"/>
              </w:rPr>
              <w:br w:type="textWrapping"/>
            </w:r>
            <w:r>
              <w:rPr>
                <w:rStyle w:val="19"/>
                <w:rFonts w:hint="default" w:ascii="Times New Roman" w:hAnsi="Times New Roman" w:cs="Times New Roman"/>
                <w:sz w:val="21"/>
                <w:szCs w:val="21"/>
                <w:lang w:val="en-US" w:eastAsia="zh-CN" w:bidi="ar"/>
              </w:rPr>
              <w:t>贯通</w:t>
            </w:r>
            <w:r>
              <w:rPr>
                <w:rStyle w:val="20"/>
                <w:rFonts w:hint="default" w:ascii="Times New Roman" w:hAnsi="Times New Roman" w:eastAsia="宋体" w:cs="Times New Roman"/>
                <w:sz w:val="21"/>
                <w:szCs w:val="21"/>
                <w:lang w:val="en-US" w:eastAsia="zh-CN" w:bidi="ar"/>
              </w:rPr>
              <w:br w:type="textWrapping"/>
            </w:r>
            <w:r>
              <w:rPr>
                <w:rStyle w:val="19"/>
                <w:rFonts w:hint="default" w:ascii="Times New Roman" w:hAnsi="Times New Roman" w:cs="Times New Roman"/>
                <w:sz w:val="21"/>
                <w:szCs w:val="21"/>
                <w:lang w:val="en-US" w:eastAsia="zh-CN" w:bidi="ar"/>
              </w:rPr>
              <w:t>时间</w:t>
            </w:r>
          </w:p>
        </w:tc>
        <w:tc>
          <w:tcPr>
            <w:tcW w:w="306" w:type="dxa"/>
            <w:vMerge w:val="restart"/>
            <w:tcBorders>
              <w:tl2br w:val="nil"/>
              <w:tr2bl w:val="nil"/>
            </w:tcBorders>
            <w:shd w:val="clear" w:color="auto" w:fill="auto"/>
            <w:vAlign w:val="center"/>
          </w:tcPr>
          <w:p w14:paraId="7871DB14">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道路等级</w:t>
            </w:r>
          </w:p>
        </w:tc>
        <w:tc>
          <w:tcPr>
            <w:tcW w:w="394" w:type="dxa"/>
            <w:vMerge w:val="restart"/>
            <w:tcBorders>
              <w:tl2br w:val="nil"/>
              <w:tr2bl w:val="nil"/>
            </w:tcBorders>
            <w:shd w:val="clear" w:color="auto" w:fill="auto"/>
            <w:vAlign w:val="center"/>
          </w:tcPr>
          <w:p w14:paraId="7AF16FD3">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道路宽度（米）</w:t>
            </w:r>
          </w:p>
        </w:tc>
        <w:tc>
          <w:tcPr>
            <w:tcW w:w="396" w:type="dxa"/>
            <w:vMerge w:val="restart"/>
            <w:tcBorders>
              <w:tl2br w:val="nil"/>
              <w:tr2bl w:val="nil"/>
            </w:tcBorders>
            <w:shd w:val="clear" w:color="auto" w:fill="auto"/>
            <w:vAlign w:val="center"/>
          </w:tcPr>
          <w:p w14:paraId="07859CB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19"/>
                <w:rFonts w:hint="default" w:ascii="Times New Roman" w:hAnsi="Times New Roman" w:cs="Times New Roman"/>
                <w:sz w:val="21"/>
                <w:szCs w:val="21"/>
                <w:lang w:val="en-US" w:eastAsia="zh-CN" w:bidi="ar"/>
              </w:rPr>
              <w:t>贯通长度（米）</w:t>
            </w:r>
          </w:p>
        </w:tc>
        <w:tc>
          <w:tcPr>
            <w:tcW w:w="348" w:type="dxa"/>
            <w:vMerge w:val="restart"/>
            <w:tcBorders>
              <w:tl2br w:val="nil"/>
              <w:tr2bl w:val="nil"/>
            </w:tcBorders>
            <w:shd w:val="clear" w:color="auto" w:fill="auto"/>
            <w:vAlign w:val="center"/>
          </w:tcPr>
          <w:p w14:paraId="76F419F7">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项目</w:t>
            </w:r>
            <w:r>
              <w:rPr>
                <w:rStyle w:val="22"/>
                <w:rFonts w:hint="default" w:ascii="Times New Roman" w:hAnsi="Times New Roman" w:eastAsia="宋体" w:cs="Times New Roman"/>
                <w:sz w:val="21"/>
                <w:szCs w:val="21"/>
                <w:lang w:val="en-US" w:eastAsia="zh-CN" w:bidi="ar"/>
              </w:rPr>
              <w:br w:type="textWrapping"/>
            </w:r>
            <w:r>
              <w:rPr>
                <w:rStyle w:val="21"/>
                <w:rFonts w:hint="default" w:ascii="Times New Roman" w:hAnsi="Times New Roman" w:cs="Times New Roman"/>
                <w:sz w:val="21"/>
                <w:szCs w:val="21"/>
                <w:lang w:val="en-US" w:eastAsia="zh-CN" w:bidi="ar"/>
              </w:rPr>
              <w:t>总投资（万元）</w:t>
            </w:r>
          </w:p>
        </w:tc>
        <w:tc>
          <w:tcPr>
            <w:tcW w:w="364" w:type="dxa"/>
            <w:vMerge w:val="restart"/>
            <w:tcBorders>
              <w:tl2br w:val="nil"/>
              <w:tr2bl w:val="nil"/>
            </w:tcBorders>
            <w:shd w:val="clear" w:color="auto" w:fill="auto"/>
            <w:vAlign w:val="center"/>
          </w:tcPr>
          <w:p w14:paraId="48F49C27">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其中：</w:t>
            </w:r>
            <w:r>
              <w:rPr>
                <w:rStyle w:val="22"/>
                <w:rFonts w:hint="default" w:ascii="Times New Roman" w:hAnsi="Times New Roman" w:eastAsia="宋体" w:cs="Times New Roman"/>
                <w:sz w:val="21"/>
                <w:szCs w:val="21"/>
                <w:lang w:val="en-US" w:eastAsia="zh-CN" w:bidi="ar"/>
              </w:rPr>
              <w:t>2026</w:t>
            </w:r>
            <w:r>
              <w:rPr>
                <w:rStyle w:val="21"/>
                <w:rFonts w:hint="default" w:ascii="Times New Roman" w:hAnsi="Times New Roman" w:cs="Times New Roman"/>
                <w:sz w:val="21"/>
                <w:szCs w:val="21"/>
                <w:lang w:val="en-US" w:eastAsia="zh-CN" w:bidi="ar"/>
              </w:rPr>
              <w:t>年度计划投资（万元）</w:t>
            </w:r>
          </w:p>
        </w:tc>
        <w:tc>
          <w:tcPr>
            <w:tcW w:w="348" w:type="dxa"/>
            <w:vMerge w:val="restart"/>
            <w:tcBorders>
              <w:tl2br w:val="nil"/>
              <w:tr2bl w:val="nil"/>
            </w:tcBorders>
            <w:shd w:val="clear" w:color="auto" w:fill="auto"/>
            <w:vAlign w:val="center"/>
          </w:tcPr>
          <w:p w14:paraId="28D41EB8">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single"/>
              </w:rPr>
            </w:pPr>
            <w:r>
              <w:rPr>
                <w:rStyle w:val="21"/>
                <w:rFonts w:hint="default" w:ascii="Times New Roman" w:hAnsi="Times New Roman" w:cs="Times New Roman"/>
                <w:sz w:val="21"/>
                <w:szCs w:val="21"/>
                <w:u w:val="none"/>
                <w:lang w:val="en-US" w:eastAsia="zh-CN" w:bidi="ar"/>
              </w:rPr>
              <w:t>月完成投资</w:t>
            </w:r>
            <w:r>
              <w:rPr>
                <w:rStyle w:val="22"/>
                <w:rFonts w:hint="default" w:ascii="Times New Roman" w:hAnsi="Times New Roman" w:eastAsia="宋体" w:cs="Times New Roman"/>
                <w:sz w:val="21"/>
                <w:szCs w:val="21"/>
                <w:u w:val="none"/>
                <w:lang w:val="en-US" w:eastAsia="zh-CN" w:bidi="ar"/>
              </w:rPr>
              <w:br w:type="textWrapping"/>
            </w:r>
            <w:r>
              <w:rPr>
                <w:rStyle w:val="21"/>
                <w:rFonts w:hint="default" w:ascii="Times New Roman" w:hAnsi="Times New Roman" w:cs="Times New Roman"/>
                <w:sz w:val="21"/>
                <w:szCs w:val="21"/>
                <w:u w:val="none"/>
                <w:lang w:val="en-US" w:eastAsia="zh-CN" w:bidi="ar"/>
              </w:rPr>
              <w:t>（万元）</w:t>
            </w:r>
          </w:p>
        </w:tc>
        <w:tc>
          <w:tcPr>
            <w:tcW w:w="357" w:type="dxa"/>
            <w:vMerge w:val="restart"/>
            <w:tcBorders>
              <w:tl2br w:val="nil"/>
              <w:tr2bl w:val="nil"/>
            </w:tcBorders>
            <w:shd w:val="clear" w:color="auto" w:fill="auto"/>
            <w:vAlign w:val="center"/>
          </w:tcPr>
          <w:p w14:paraId="74A7D30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2026</w:t>
            </w:r>
            <w:r>
              <w:rPr>
                <w:rStyle w:val="21"/>
                <w:rFonts w:hint="default" w:ascii="Times New Roman" w:hAnsi="Times New Roman" w:cs="Times New Roman"/>
                <w:sz w:val="21"/>
                <w:szCs w:val="21"/>
                <w:lang w:val="en-US" w:eastAsia="zh-CN" w:bidi="ar"/>
              </w:rPr>
              <w:t>年度累计完成投资</w:t>
            </w:r>
            <w:r>
              <w:rPr>
                <w:rStyle w:val="22"/>
                <w:rFonts w:hint="default" w:ascii="Times New Roman" w:hAnsi="Times New Roman" w:eastAsia="宋体" w:cs="Times New Roman"/>
                <w:sz w:val="21"/>
                <w:szCs w:val="21"/>
                <w:lang w:val="en-US" w:eastAsia="zh-CN" w:bidi="ar"/>
              </w:rPr>
              <w:br w:type="textWrapping"/>
            </w:r>
            <w:r>
              <w:rPr>
                <w:rStyle w:val="21"/>
                <w:rFonts w:hint="default" w:ascii="Times New Roman" w:hAnsi="Times New Roman" w:cs="Times New Roman"/>
                <w:sz w:val="21"/>
                <w:szCs w:val="21"/>
                <w:lang w:val="en-US" w:eastAsia="zh-CN" w:bidi="ar"/>
              </w:rPr>
              <w:t>（万元）</w:t>
            </w:r>
          </w:p>
        </w:tc>
        <w:tc>
          <w:tcPr>
            <w:tcW w:w="466" w:type="dxa"/>
            <w:vMerge w:val="restart"/>
            <w:tcBorders>
              <w:tl2br w:val="nil"/>
              <w:tr2bl w:val="nil"/>
            </w:tcBorders>
            <w:shd w:val="clear" w:color="auto" w:fill="auto"/>
            <w:vAlign w:val="center"/>
          </w:tcPr>
          <w:p w14:paraId="426CF64A">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年度建设计划安排</w:t>
            </w:r>
            <w:r>
              <w:rPr>
                <w:rStyle w:val="22"/>
                <w:rFonts w:hint="default" w:ascii="Times New Roman" w:hAnsi="Times New Roman" w:eastAsia="宋体" w:cs="Times New Roman"/>
                <w:sz w:val="21"/>
                <w:szCs w:val="21"/>
                <w:lang w:val="en-US" w:eastAsia="zh-CN" w:bidi="ar"/>
              </w:rPr>
              <w:br w:type="textWrapping"/>
            </w:r>
            <w:r>
              <w:rPr>
                <w:rStyle w:val="21"/>
                <w:rFonts w:hint="default" w:ascii="Times New Roman" w:hAnsi="Times New Roman" w:cs="Times New Roman"/>
                <w:sz w:val="21"/>
                <w:szCs w:val="21"/>
                <w:lang w:val="en-US" w:eastAsia="zh-CN" w:bidi="ar"/>
              </w:rPr>
              <w:t>（具体到月）</w:t>
            </w:r>
          </w:p>
        </w:tc>
        <w:tc>
          <w:tcPr>
            <w:tcW w:w="2598" w:type="dxa"/>
            <w:gridSpan w:val="9"/>
            <w:tcBorders>
              <w:tl2br w:val="nil"/>
              <w:tr2bl w:val="nil"/>
            </w:tcBorders>
            <w:shd w:val="clear" w:color="auto" w:fill="auto"/>
            <w:vAlign w:val="center"/>
          </w:tcPr>
          <w:p w14:paraId="5864BEE4">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工程形象进度（勾选）</w:t>
            </w:r>
          </w:p>
        </w:tc>
        <w:tc>
          <w:tcPr>
            <w:tcW w:w="339" w:type="dxa"/>
            <w:vMerge w:val="restart"/>
            <w:tcBorders>
              <w:tl2br w:val="nil"/>
              <w:tr2bl w:val="nil"/>
            </w:tcBorders>
            <w:shd w:val="clear" w:color="auto" w:fill="auto"/>
            <w:vAlign w:val="center"/>
          </w:tcPr>
          <w:p w14:paraId="34559353">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形成</w:t>
            </w:r>
            <w:r>
              <w:rPr>
                <w:rStyle w:val="22"/>
                <w:rFonts w:hint="default" w:ascii="Times New Roman" w:hAnsi="Times New Roman" w:eastAsia="宋体" w:cs="Times New Roman"/>
                <w:sz w:val="21"/>
                <w:szCs w:val="21"/>
                <w:lang w:val="en-US" w:eastAsia="zh-CN" w:bidi="ar"/>
              </w:rPr>
              <w:t>“</w:t>
            </w:r>
            <w:r>
              <w:rPr>
                <w:rStyle w:val="21"/>
                <w:rFonts w:hint="default" w:ascii="Times New Roman" w:hAnsi="Times New Roman" w:cs="Times New Roman"/>
                <w:sz w:val="21"/>
                <w:szCs w:val="21"/>
                <w:lang w:val="en-US" w:eastAsia="zh-CN" w:bidi="ar"/>
              </w:rPr>
              <w:t>断头路</w:t>
            </w:r>
            <w:r>
              <w:rPr>
                <w:rStyle w:val="22"/>
                <w:rFonts w:hint="default" w:ascii="Times New Roman" w:hAnsi="Times New Roman" w:eastAsia="宋体" w:cs="Times New Roman"/>
                <w:sz w:val="21"/>
                <w:szCs w:val="21"/>
                <w:lang w:val="en-US" w:eastAsia="zh-CN" w:bidi="ar"/>
              </w:rPr>
              <w:t>”</w:t>
            </w:r>
            <w:r>
              <w:rPr>
                <w:rStyle w:val="21"/>
                <w:rFonts w:hint="default" w:ascii="Times New Roman" w:hAnsi="Times New Roman" w:cs="Times New Roman"/>
                <w:sz w:val="21"/>
                <w:szCs w:val="21"/>
                <w:lang w:val="en-US" w:eastAsia="zh-CN" w:bidi="ar"/>
              </w:rPr>
              <w:t>的主要原因</w:t>
            </w:r>
          </w:p>
        </w:tc>
        <w:tc>
          <w:tcPr>
            <w:tcW w:w="316" w:type="dxa"/>
            <w:vMerge w:val="restart"/>
            <w:tcBorders>
              <w:tl2br w:val="nil"/>
              <w:tr2bl w:val="nil"/>
            </w:tcBorders>
            <w:shd w:val="clear" w:color="auto" w:fill="auto"/>
            <w:vAlign w:val="center"/>
          </w:tcPr>
          <w:p w14:paraId="0C4962A5">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需要协调的事项</w:t>
            </w:r>
          </w:p>
        </w:tc>
        <w:tc>
          <w:tcPr>
            <w:tcW w:w="397" w:type="dxa"/>
            <w:vMerge w:val="restart"/>
            <w:tcBorders>
              <w:tl2br w:val="nil"/>
              <w:tr2bl w:val="nil"/>
            </w:tcBorders>
            <w:shd w:val="clear" w:color="auto" w:fill="auto"/>
            <w:vAlign w:val="center"/>
          </w:tcPr>
          <w:p w14:paraId="2E36DF24">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备注</w:t>
            </w:r>
          </w:p>
        </w:tc>
      </w:tr>
      <w:tr w14:paraId="112D8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281" w:type="dxa"/>
            <w:vMerge w:val="continue"/>
            <w:tcBorders>
              <w:tl2br w:val="nil"/>
              <w:tr2bl w:val="nil"/>
            </w:tcBorders>
            <w:shd w:val="clear" w:color="auto" w:fill="auto"/>
            <w:vAlign w:val="center"/>
          </w:tcPr>
          <w:p w14:paraId="2ABB38BE">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05" w:type="dxa"/>
            <w:vMerge w:val="continue"/>
            <w:tcBorders>
              <w:tl2br w:val="nil"/>
              <w:tr2bl w:val="nil"/>
            </w:tcBorders>
            <w:shd w:val="clear" w:color="auto" w:fill="auto"/>
            <w:vAlign w:val="center"/>
          </w:tcPr>
          <w:p w14:paraId="68261C41">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411" w:type="dxa"/>
            <w:vMerge w:val="continue"/>
            <w:tcBorders>
              <w:tl2br w:val="nil"/>
              <w:tr2bl w:val="nil"/>
            </w:tcBorders>
            <w:shd w:val="clear" w:color="auto" w:fill="auto"/>
            <w:vAlign w:val="center"/>
          </w:tcPr>
          <w:p w14:paraId="3AAFB277">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427" w:type="dxa"/>
            <w:vMerge w:val="continue"/>
            <w:tcBorders>
              <w:tl2br w:val="nil"/>
              <w:tr2bl w:val="nil"/>
            </w:tcBorders>
            <w:shd w:val="clear" w:color="auto" w:fill="auto"/>
            <w:vAlign w:val="center"/>
          </w:tcPr>
          <w:p w14:paraId="4D289B3B">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09" w:type="dxa"/>
            <w:vMerge w:val="continue"/>
            <w:tcBorders>
              <w:tl2br w:val="nil"/>
              <w:tr2bl w:val="nil"/>
            </w:tcBorders>
            <w:shd w:val="clear" w:color="auto" w:fill="auto"/>
            <w:vAlign w:val="center"/>
          </w:tcPr>
          <w:p w14:paraId="1056BBE2">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09" w:type="dxa"/>
            <w:vMerge w:val="continue"/>
            <w:tcBorders>
              <w:tl2br w:val="nil"/>
              <w:tr2bl w:val="nil"/>
            </w:tcBorders>
            <w:shd w:val="clear" w:color="auto" w:fill="auto"/>
            <w:vAlign w:val="center"/>
          </w:tcPr>
          <w:p w14:paraId="488DF4F3">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06" w:type="dxa"/>
            <w:vMerge w:val="continue"/>
            <w:tcBorders>
              <w:tl2br w:val="nil"/>
              <w:tr2bl w:val="nil"/>
            </w:tcBorders>
            <w:shd w:val="clear" w:color="auto" w:fill="auto"/>
            <w:vAlign w:val="center"/>
          </w:tcPr>
          <w:p w14:paraId="347E1AEC">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94" w:type="dxa"/>
            <w:vMerge w:val="continue"/>
            <w:tcBorders>
              <w:tl2br w:val="nil"/>
              <w:tr2bl w:val="nil"/>
            </w:tcBorders>
            <w:shd w:val="clear" w:color="auto" w:fill="auto"/>
            <w:vAlign w:val="center"/>
          </w:tcPr>
          <w:p w14:paraId="4260791A">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96" w:type="dxa"/>
            <w:vMerge w:val="continue"/>
            <w:tcBorders>
              <w:tl2br w:val="nil"/>
              <w:tr2bl w:val="nil"/>
            </w:tcBorders>
            <w:shd w:val="clear" w:color="auto" w:fill="auto"/>
            <w:vAlign w:val="center"/>
          </w:tcPr>
          <w:p w14:paraId="288CB71A">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48" w:type="dxa"/>
            <w:vMerge w:val="continue"/>
            <w:tcBorders>
              <w:tl2br w:val="nil"/>
              <w:tr2bl w:val="nil"/>
            </w:tcBorders>
            <w:shd w:val="clear" w:color="auto" w:fill="auto"/>
            <w:vAlign w:val="center"/>
          </w:tcPr>
          <w:p w14:paraId="43890665">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64" w:type="dxa"/>
            <w:vMerge w:val="continue"/>
            <w:tcBorders>
              <w:tl2br w:val="nil"/>
              <w:tr2bl w:val="nil"/>
            </w:tcBorders>
            <w:shd w:val="clear" w:color="auto" w:fill="auto"/>
            <w:vAlign w:val="center"/>
          </w:tcPr>
          <w:p w14:paraId="0A9756B7">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48" w:type="dxa"/>
            <w:vMerge w:val="continue"/>
            <w:tcBorders>
              <w:tl2br w:val="nil"/>
              <w:tr2bl w:val="nil"/>
            </w:tcBorders>
            <w:shd w:val="clear" w:color="auto" w:fill="auto"/>
            <w:vAlign w:val="center"/>
          </w:tcPr>
          <w:p w14:paraId="0C4FB947">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single"/>
              </w:rPr>
            </w:pPr>
          </w:p>
        </w:tc>
        <w:tc>
          <w:tcPr>
            <w:tcW w:w="357" w:type="dxa"/>
            <w:vMerge w:val="continue"/>
            <w:tcBorders>
              <w:tl2br w:val="nil"/>
              <w:tr2bl w:val="nil"/>
            </w:tcBorders>
            <w:shd w:val="clear" w:color="auto" w:fill="auto"/>
            <w:vAlign w:val="center"/>
          </w:tcPr>
          <w:p w14:paraId="1F58A8C3">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466" w:type="dxa"/>
            <w:vMerge w:val="continue"/>
            <w:tcBorders>
              <w:tl2br w:val="nil"/>
              <w:tr2bl w:val="nil"/>
            </w:tcBorders>
            <w:shd w:val="clear" w:color="auto" w:fill="auto"/>
            <w:vAlign w:val="center"/>
          </w:tcPr>
          <w:p w14:paraId="241986A4">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288" w:type="dxa"/>
            <w:tcBorders>
              <w:tl2br w:val="nil"/>
              <w:tr2bl w:val="nil"/>
            </w:tcBorders>
            <w:shd w:val="clear" w:color="auto" w:fill="auto"/>
            <w:vAlign w:val="center"/>
          </w:tcPr>
          <w:p w14:paraId="5D4BD662">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立项</w:t>
            </w:r>
          </w:p>
        </w:tc>
        <w:tc>
          <w:tcPr>
            <w:tcW w:w="288" w:type="dxa"/>
            <w:tcBorders>
              <w:tl2br w:val="nil"/>
              <w:tr2bl w:val="nil"/>
            </w:tcBorders>
            <w:shd w:val="clear" w:color="auto" w:fill="auto"/>
            <w:vAlign w:val="center"/>
          </w:tcPr>
          <w:p w14:paraId="784CDD8C">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可研</w:t>
            </w:r>
          </w:p>
        </w:tc>
        <w:tc>
          <w:tcPr>
            <w:tcW w:w="288" w:type="dxa"/>
            <w:tcBorders>
              <w:tl2br w:val="nil"/>
              <w:tr2bl w:val="nil"/>
            </w:tcBorders>
            <w:shd w:val="clear" w:color="auto" w:fill="auto"/>
            <w:vAlign w:val="center"/>
          </w:tcPr>
          <w:p w14:paraId="69C30E21">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设计</w:t>
            </w:r>
          </w:p>
        </w:tc>
        <w:tc>
          <w:tcPr>
            <w:tcW w:w="288" w:type="dxa"/>
            <w:tcBorders>
              <w:tl2br w:val="nil"/>
              <w:tr2bl w:val="nil"/>
            </w:tcBorders>
            <w:shd w:val="clear" w:color="auto" w:fill="auto"/>
            <w:vAlign w:val="center"/>
          </w:tcPr>
          <w:p w14:paraId="71BEFAAA">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预算</w:t>
            </w:r>
          </w:p>
        </w:tc>
        <w:tc>
          <w:tcPr>
            <w:tcW w:w="288" w:type="dxa"/>
            <w:tcBorders>
              <w:tl2br w:val="nil"/>
              <w:tr2bl w:val="nil"/>
            </w:tcBorders>
            <w:shd w:val="clear" w:color="auto" w:fill="auto"/>
            <w:vAlign w:val="center"/>
          </w:tcPr>
          <w:p w14:paraId="20A44E4E">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财审</w:t>
            </w:r>
          </w:p>
        </w:tc>
        <w:tc>
          <w:tcPr>
            <w:tcW w:w="294" w:type="dxa"/>
            <w:tcBorders>
              <w:tl2br w:val="nil"/>
              <w:tr2bl w:val="nil"/>
            </w:tcBorders>
            <w:shd w:val="clear" w:color="auto" w:fill="auto"/>
            <w:vAlign w:val="center"/>
          </w:tcPr>
          <w:p w14:paraId="26FCBE54">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招投标</w:t>
            </w:r>
          </w:p>
        </w:tc>
        <w:tc>
          <w:tcPr>
            <w:tcW w:w="288" w:type="dxa"/>
            <w:tcBorders>
              <w:tl2br w:val="nil"/>
              <w:tr2bl w:val="nil"/>
            </w:tcBorders>
            <w:shd w:val="clear" w:color="auto" w:fill="auto"/>
            <w:vAlign w:val="center"/>
          </w:tcPr>
          <w:p w14:paraId="47B919BB">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开工</w:t>
            </w:r>
          </w:p>
        </w:tc>
        <w:tc>
          <w:tcPr>
            <w:tcW w:w="288" w:type="dxa"/>
            <w:tcBorders>
              <w:tl2br w:val="nil"/>
              <w:tr2bl w:val="nil"/>
            </w:tcBorders>
            <w:shd w:val="clear" w:color="auto" w:fill="auto"/>
            <w:vAlign w:val="center"/>
          </w:tcPr>
          <w:p w14:paraId="7040708C">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通车</w:t>
            </w:r>
          </w:p>
        </w:tc>
        <w:tc>
          <w:tcPr>
            <w:tcW w:w="288" w:type="dxa"/>
            <w:tcBorders>
              <w:tl2br w:val="nil"/>
              <w:tr2bl w:val="nil"/>
            </w:tcBorders>
            <w:shd w:val="clear" w:color="auto" w:fill="auto"/>
            <w:vAlign w:val="center"/>
          </w:tcPr>
          <w:p w14:paraId="262AA1E1">
            <w:pPr>
              <w:keepNext w:val="0"/>
              <w:keepLines w:val="0"/>
              <w:pageBreakBefore w:val="0"/>
              <w:widowControl/>
              <w:suppressLineNumbers w:val="0"/>
              <w:kinsoku/>
              <w:wordWrap/>
              <w:overflowPunct/>
              <w:topLinePunct w:val="0"/>
              <w:autoSpaceDE/>
              <w:autoSpaceDN/>
              <w:bidi w:val="0"/>
              <w:adjustRightInd/>
              <w:spacing w:line="520" w:lineRule="exact"/>
              <w:ind w:left="0" w:leftChars="0" w:right="0" w:rightChars="0"/>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cs="Times New Roman"/>
                <w:sz w:val="21"/>
                <w:szCs w:val="21"/>
                <w:lang w:val="en-US" w:eastAsia="zh-CN" w:bidi="ar"/>
              </w:rPr>
              <w:t>竣工</w:t>
            </w:r>
          </w:p>
        </w:tc>
        <w:tc>
          <w:tcPr>
            <w:tcW w:w="339" w:type="dxa"/>
            <w:vMerge w:val="continue"/>
            <w:tcBorders>
              <w:tl2br w:val="nil"/>
              <w:tr2bl w:val="nil"/>
            </w:tcBorders>
            <w:shd w:val="clear" w:color="auto" w:fill="auto"/>
            <w:vAlign w:val="center"/>
          </w:tcPr>
          <w:p w14:paraId="5675100E">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16" w:type="dxa"/>
            <w:vMerge w:val="continue"/>
            <w:tcBorders>
              <w:tl2br w:val="nil"/>
              <w:tr2bl w:val="nil"/>
            </w:tcBorders>
            <w:shd w:val="clear" w:color="auto" w:fill="auto"/>
            <w:vAlign w:val="center"/>
          </w:tcPr>
          <w:p w14:paraId="2D2626F6">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c>
          <w:tcPr>
            <w:tcW w:w="397" w:type="dxa"/>
            <w:vMerge w:val="continue"/>
            <w:tcBorders>
              <w:tl2br w:val="nil"/>
              <w:tr2bl w:val="nil"/>
            </w:tcBorders>
            <w:shd w:val="clear" w:color="auto" w:fill="auto"/>
            <w:vAlign w:val="center"/>
          </w:tcPr>
          <w:p w14:paraId="3284CC26">
            <w:pPr>
              <w:pageBreakBefore w:val="0"/>
              <w:kinsoku/>
              <w:wordWrap/>
              <w:overflowPunct/>
              <w:topLinePunct w:val="0"/>
              <w:autoSpaceDE/>
              <w:autoSpaceDN/>
              <w:bidi w:val="0"/>
              <w:adjustRightInd/>
              <w:spacing w:line="520" w:lineRule="exact"/>
              <w:ind w:left="0" w:leftChars="0" w:right="0" w:rightChars="0"/>
              <w:jc w:val="center"/>
              <w:rPr>
                <w:rFonts w:hint="default" w:ascii="Times New Roman" w:hAnsi="Times New Roman" w:eastAsia="宋体" w:cs="Times New Roman"/>
                <w:i w:val="0"/>
                <w:iCs w:val="0"/>
                <w:color w:val="000000"/>
                <w:sz w:val="21"/>
                <w:szCs w:val="21"/>
                <w:u w:val="none"/>
              </w:rPr>
            </w:pPr>
          </w:p>
        </w:tc>
      </w:tr>
    </w:tbl>
    <w:p w14:paraId="0E232479">
      <w:pPr>
        <w:pStyle w:val="8"/>
        <w:pageBreakBefore w:val="0"/>
        <w:widowControl w:val="0"/>
        <w:numPr>
          <w:ilvl w:val="3"/>
          <w:numId w:val="0"/>
        </w:numPr>
        <w:kinsoku/>
        <w:wordWrap/>
        <w:overflowPunct/>
        <w:topLinePunct w:val="0"/>
        <w:autoSpaceDE/>
        <w:autoSpaceDN/>
        <w:bidi w:val="0"/>
        <w:adjustRightInd/>
        <w:spacing w:before="0" w:after="0" w:line="52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32" w:name="_Toc25709"/>
      <w:bookmarkStart w:id="33" w:name="_Toc32251"/>
      <w:r>
        <w:rPr>
          <w:rFonts w:hint="default" w:ascii="Times New Roman" w:hAnsi="Times New Roman" w:eastAsia="仿宋_GB2312" w:cs="Times New Roman"/>
          <w:sz w:val="32"/>
          <w:szCs w:val="32"/>
          <w:lang w:val="en-US" w:eastAsia="zh-CN"/>
        </w:rPr>
        <w:t>3</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优化项目情况一览表</w:t>
      </w:r>
      <w:bookmarkEnd w:id="32"/>
      <w:bookmarkEnd w:id="33"/>
    </w:p>
    <w:p w14:paraId="2700A0A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在原有统计维度基础上，新增项目投资分类、资金来源、是否续建项目等核心指标，可按需筛选对应的项目数据，精准定位目标项目，满足更细分的项目管理与分析需求。</w:t>
      </w:r>
    </w:p>
    <w:p w14:paraId="6B28604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b w:val="0"/>
          <w:bCs/>
          <w:kern w:val="2"/>
          <w:sz w:val="32"/>
          <w:szCs w:val="32"/>
          <w:lang w:val="en-US" w:eastAsia="zh-CN" w:bidi="ar-SA"/>
        </w:rPr>
      </w:pPr>
      <w:r>
        <w:rPr>
          <w:rFonts w:hint="default" w:ascii="Times New Roman" w:hAnsi="Times New Roman" w:eastAsia="仿宋_GB2312" w:cs="Times New Roman"/>
          <w:b w:val="0"/>
          <w:bCs/>
          <w:kern w:val="2"/>
          <w:sz w:val="32"/>
          <w:szCs w:val="32"/>
          <w:lang w:val="en-US" w:eastAsia="zh-CN" w:bidi="ar-SA"/>
        </w:rPr>
        <w:t>在自定义统计报表同步新增上述核心指标，优化完善申报列与进展列，支持用户根据业务需求自由勾选指标进行统计分析，同时支持按项目类型动态加载对应专属指标选项，实现“一张表看全项目信息”，生成专属统计报表，同时支持统计报表导出为excel格式。</w:t>
      </w:r>
    </w:p>
    <w:p w14:paraId="6BD40069">
      <w:pPr>
        <w:pStyle w:val="5"/>
        <w:pageBreakBefore w:val="0"/>
        <w:widowControl w:val="0"/>
        <w:numPr>
          <w:ilvl w:val="1"/>
          <w:numId w:val="0"/>
        </w:numPr>
        <w:tabs>
          <w:tab w:val="clear" w:pos="425"/>
        </w:tabs>
        <w:kinsoku/>
        <w:wordWrap/>
        <w:overflowPunct/>
        <w:topLinePunct w:val="0"/>
        <w:autoSpaceDE/>
        <w:autoSpaceDN/>
        <w:bidi w:val="0"/>
        <w:adjustRightInd/>
        <w:spacing w:beforeLines="0" w:afterLines="0" w:line="520" w:lineRule="exact"/>
        <w:ind w:left="0" w:leftChars="0" w:right="0" w:rightChars="0" w:firstLine="643" w:firstLineChars="200"/>
        <w:jc w:val="both"/>
        <w:textAlignment w:val="auto"/>
        <w:rPr>
          <w:rFonts w:hint="default" w:ascii="Times New Roman" w:hAnsi="Times New Roman" w:eastAsia="楷体_GB2312" w:cs="Times New Roman"/>
          <w:sz w:val="32"/>
          <w:szCs w:val="32"/>
          <w:lang w:val="en-US" w:eastAsia="zh-CN"/>
        </w:rPr>
      </w:pPr>
      <w:bookmarkStart w:id="34" w:name="_Toc2704"/>
      <w:r>
        <w:rPr>
          <w:rFonts w:hint="default" w:ascii="Times New Roman" w:hAnsi="Times New Roman" w:eastAsia="楷体_GB2312" w:cs="Times New Roman"/>
          <w:sz w:val="32"/>
          <w:szCs w:val="32"/>
          <w:lang w:val="en-US" w:eastAsia="zh-CN"/>
        </w:rPr>
        <w:t>（四）实现与福建省住建行业运行监测系统对接及单点登录</w:t>
      </w:r>
      <w:bookmarkEnd w:id="34"/>
    </w:p>
    <w:p w14:paraId="626D98D3">
      <w:pPr>
        <w:pStyle w:val="6"/>
        <w:pageBreakBefore w:val="0"/>
        <w:widowControl w:val="0"/>
        <w:kinsoku/>
        <w:wordWrap/>
        <w:overflowPunct/>
        <w:topLinePunct w:val="0"/>
        <w:autoSpaceDE/>
        <w:autoSpaceDN/>
        <w:bidi w:val="0"/>
        <w:adjustRightInd/>
        <w:spacing w:line="520" w:lineRule="exact"/>
        <w:ind w:left="0" w:leftChars="0" w:right="0" w:rightChars="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sz w:val="32"/>
          <w:szCs w:val="32"/>
          <w:lang w:val="en-US" w:eastAsia="zh-CN"/>
        </w:rPr>
        <w:t>完成与福建省住建行业运行监测系统的对接，实现单点登录功能，并推送相关报表数据至</w:t>
      </w:r>
      <w:r>
        <w:rPr>
          <w:rFonts w:hint="default" w:ascii="Times New Roman" w:hAnsi="Times New Roman" w:cs="Times New Roman"/>
          <w:b w:val="0"/>
          <w:bCs/>
          <w:sz w:val="32"/>
          <w:szCs w:val="32"/>
          <w:lang w:val="en-US" w:eastAsia="zh-CN"/>
        </w:rPr>
        <w:t>监测系统</w:t>
      </w:r>
      <w:r>
        <w:rPr>
          <w:rFonts w:hint="default" w:ascii="Times New Roman" w:hAnsi="Times New Roman" w:eastAsia="仿宋_GB2312" w:cs="Times New Roman"/>
          <w:b w:val="0"/>
          <w:bCs/>
          <w:sz w:val="32"/>
          <w:szCs w:val="32"/>
          <w:lang w:val="en-US" w:eastAsia="zh-CN"/>
        </w:rPr>
        <w:t>。</w:t>
      </w:r>
    </w:p>
    <w:p w14:paraId="26C4E3B3">
      <w:pPr>
        <w:pStyle w:val="8"/>
        <w:pageBreakBefore w:val="0"/>
        <w:widowControl w:val="0"/>
        <w:numPr>
          <w:ilvl w:val="3"/>
          <w:numId w:val="0"/>
        </w:numPr>
        <w:kinsoku/>
        <w:wordWrap/>
        <w:overflowPunct/>
        <w:topLinePunct w:val="0"/>
        <w:autoSpaceDE/>
        <w:autoSpaceDN/>
        <w:bidi w:val="0"/>
        <w:adjustRightInd/>
        <w:spacing w:before="0" w:after="0" w:line="52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35" w:name="_Toc30442"/>
      <w:bookmarkStart w:id="36" w:name="_Toc6160"/>
      <w:r>
        <w:rPr>
          <w:rFonts w:hint="default" w:ascii="Times New Roman" w:hAnsi="Times New Roman" w:eastAsia="仿宋_GB2312" w:cs="Times New Roman"/>
          <w:sz w:val="32"/>
          <w:szCs w:val="32"/>
          <w:lang w:val="en-US" w:eastAsia="zh-CN"/>
        </w:rPr>
        <w:t>1</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单点登录对接</w:t>
      </w:r>
      <w:bookmarkEnd w:id="35"/>
      <w:bookmarkEnd w:id="36"/>
    </w:p>
    <w:p w14:paraId="491FF61B">
      <w:pPr>
        <w:pageBreakBefore w:val="0"/>
        <w:widowControl w:val="0"/>
        <w:kinsoku/>
        <w:wordWrap/>
        <w:overflowPunct/>
        <w:topLinePunct w:val="0"/>
        <w:autoSpaceDE/>
        <w:autoSpaceDN/>
        <w:bidi w:val="0"/>
        <w:adjustRightInd/>
        <w:spacing w:line="520" w:lineRule="exact"/>
        <w:ind w:left="0" w:leftChars="0" w:right="0" w:rightChars="0" w:firstLine="640" w:firstLineChars="200"/>
        <w:jc w:val="both"/>
        <w:textAlignment w:val="auto"/>
        <w:rPr>
          <w:rFonts w:hint="default" w:ascii="Times New Roman" w:hAnsi="Times New Roman" w:eastAsia="仿宋_GB2312" w:cs="Times New Roman"/>
          <w:b w:val="0"/>
          <w:bCs/>
          <w:kern w:val="0"/>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实现用户在“城市建设品质提升项目管理系统”与“福建省住建行业运行监测系统”之间的无缝切换，用户在福建省住建行业运行监测系统登录后，</w:t>
      </w:r>
      <w:r>
        <w:rPr>
          <w:rFonts w:hint="default" w:ascii="Times New Roman" w:hAnsi="Times New Roman" w:eastAsia="仿宋_GB2312" w:cs="Times New Roman"/>
          <w:b w:val="0"/>
          <w:bCs/>
          <w:sz w:val="32"/>
          <w:szCs w:val="32"/>
          <w:lang w:val="en-US" w:eastAsia="zh-CN"/>
        </w:rPr>
        <w:t>可直接进入城市建设品质提升项目管理系统</w:t>
      </w:r>
      <w:r>
        <w:rPr>
          <w:rFonts w:hint="default" w:ascii="Times New Roman" w:hAnsi="Times New Roman" w:eastAsia="仿宋_GB2312" w:cs="Times New Roman"/>
          <w:b w:val="0"/>
          <w:bCs/>
          <w:kern w:val="0"/>
          <w:sz w:val="32"/>
          <w:szCs w:val="32"/>
          <w:lang w:val="en-US" w:eastAsia="zh-CN" w:bidi="ar-SA"/>
        </w:rPr>
        <w:t>。</w:t>
      </w:r>
    </w:p>
    <w:p w14:paraId="4AD95B33">
      <w:pPr>
        <w:pStyle w:val="8"/>
        <w:pageBreakBefore w:val="0"/>
        <w:widowControl w:val="0"/>
        <w:numPr>
          <w:ilvl w:val="3"/>
          <w:numId w:val="0"/>
        </w:numPr>
        <w:kinsoku/>
        <w:wordWrap/>
        <w:overflowPunct/>
        <w:topLinePunct w:val="0"/>
        <w:autoSpaceDE/>
        <w:autoSpaceDN/>
        <w:bidi w:val="0"/>
        <w:adjustRightInd/>
        <w:spacing w:before="0" w:after="0" w:line="52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bookmarkStart w:id="37" w:name="_Toc22791"/>
      <w:r>
        <w:rPr>
          <w:rFonts w:hint="default" w:ascii="Times New Roman" w:hAnsi="Times New Roman" w:eastAsia="仿宋_GB2312" w:cs="Times New Roman"/>
          <w:sz w:val="32"/>
          <w:szCs w:val="32"/>
          <w:lang w:val="en-US" w:eastAsia="zh-CN"/>
        </w:rPr>
        <w:t>2</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数据对接推送</w:t>
      </w:r>
      <w:bookmarkEnd w:id="37"/>
    </w:p>
    <w:p w14:paraId="6345F992">
      <w:pPr>
        <w:pageBreakBefore w:val="0"/>
        <w:widowControl w:val="0"/>
        <w:kinsoku/>
        <w:wordWrap/>
        <w:overflowPunct/>
        <w:topLinePunct w:val="0"/>
        <w:autoSpaceDE/>
        <w:autoSpaceDN/>
        <w:bidi w:val="0"/>
        <w:adjustRightInd/>
        <w:spacing w:line="520" w:lineRule="exact"/>
        <w:ind w:left="0" w:leftChars="0" w:right="0" w:rightChars="0" w:firstLine="420"/>
        <w:jc w:val="both"/>
        <w:textAlignment w:val="auto"/>
        <w:rPr>
          <w:rFonts w:hint="default" w:ascii="Times New Roman" w:hAnsi="Times New Roman" w:eastAsia="仿宋_GB2312" w:cs="Times New Roman"/>
          <w:b w:val="0"/>
          <w:bCs/>
          <w:kern w:val="0"/>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（1）新增改造供水管网类型统计数据</w:t>
      </w:r>
    </w:p>
    <w:p w14:paraId="01E715CC">
      <w:pPr>
        <w:pageBreakBefore w:val="0"/>
        <w:widowControl w:val="0"/>
        <w:kinsoku/>
        <w:wordWrap/>
        <w:overflowPunct/>
        <w:topLinePunct w:val="0"/>
        <w:autoSpaceDE/>
        <w:autoSpaceDN/>
        <w:bidi w:val="0"/>
        <w:adjustRightInd/>
        <w:spacing w:line="520" w:lineRule="exact"/>
        <w:ind w:left="0" w:leftChars="0" w:right="0" w:rightChars="0" w:firstLine="640" w:firstLineChars="200"/>
        <w:jc w:val="both"/>
        <w:textAlignment w:val="auto"/>
        <w:rPr>
          <w:rFonts w:hint="default" w:ascii="Times New Roman" w:hAnsi="Times New Roman" w:eastAsia="仿宋_GB2312" w:cs="Times New Roman"/>
          <w:b w:val="0"/>
          <w:bCs/>
          <w:kern w:val="0"/>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通过配置全量推送及定时增量同步任务，系统自动提取全省各地市每月填报的新增改造供水管网相关数据进行汇总统计，将统计后的信息推送至福建省住建行业运行监测系统。</w:t>
      </w:r>
    </w:p>
    <w:p w14:paraId="6BE7A066">
      <w:pPr>
        <w:pageBreakBefore w:val="0"/>
        <w:widowControl w:val="0"/>
        <w:numPr>
          <w:ilvl w:val="0"/>
          <w:numId w:val="3"/>
        </w:numPr>
        <w:kinsoku/>
        <w:wordWrap/>
        <w:overflowPunct/>
        <w:topLinePunct w:val="0"/>
        <w:autoSpaceDE/>
        <w:autoSpaceDN/>
        <w:bidi w:val="0"/>
        <w:adjustRightInd/>
        <w:spacing w:line="520" w:lineRule="exact"/>
        <w:ind w:left="0" w:leftChars="0" w:right="0" w:rightChars="0" w:firstLine="420"/>
        <w:jc w:val="both"/>
        <w:textAlignment w:val="auto"/>
        <w:rPr>
          <w:rFonts w:hint="default" w:ascii="Times New Roman" w:hAnsi="Times New Roman" w:eastAsia="仿宋_GB2312" w:cs="Times New Roman"/>
          <w:b w:val="0"/>
          <w:bCs/>
          <w:kern w:val="0"/>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新改建雨水管网（渠）类型统计数据</w:t>
      </w:r>
    </w:p>
    <w:p w14:paraId="5CEE1D9C">
      <w:pPr>
        <w:pageBreakBefore w:val="0"/>
        <w:widowControl w:val="0"/>
        <w:kinsoku/>
        <w:wordWrap/>
        <w:overflowPunct/>
        <w:topLinePunct w:val="0"/>
        <w:autoSpaceDE/>
        <w:autoSpaceDN/>
        <w:bidi w:val="0"/>
        <w:adjustRightInd/>
        <w:spacing w:line="520" w:lineRule="exact"/>
        <w:ind w:left="0" w:leftChars="0" w:right="0" w:rightChars="0" w:firstLine="640" w:firstLineChars="200"/>
        <w:jc w:val="both"/>
        <w:textAlignment w:val="auto"/>
        <w:rPr>
          <w:rFonts w:hint="default" w:ascii="Times New Roman" w:hAnsi="Times New Roman" w:eastAsia="仿宋_GB2312" w:cs="Times New Roman"/>
          <w:b w:val="0"/>
          <w:bCs/>
          <w:kern w:val="0"/>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通过配置全量推送及定时增量同步任务，系统自动提取全省各地市每月填报的新增改造供水管网相关数据进行汇总统计，将统计后的信息推送至福建省住建行业运行监测系统。</w:t>
      </w:r>
    </w:p>
    <w:p w14:paraId="2DEA3D73">
      <w:pPr>
        <w:pageBreakBefore w:val="0"/>
        <w:widowControl w:val="0"/>
        <w:numPr>
          <w:ilvl w:val="0"/>
          <w:numId w:val="3"/>
        </w:numPr>
        <w:kinsoku/>
        <w:wordWrap/>
        <w:overflowPunct/>
        <w:topLinePunct w:val="0"/>
        <w:autoSpaceDE/>
        <w:autoSpaceDN/>
        <w:bidi w:val="0"/>
        <w:adjustRightInd/>
        <w:spacing w:line="520" w:lineRule="exact"/>
        <w:ind w:left="0" w:leftChars="0" w:right="0" w:rightChars="0" w:firstLine="420" w:firstLineChars="0"/>
        <w:jc w:val="both"/>
        <w:textAlignment w:val="auto"/>
        <w:rPr>
          <w:rFonts w:hint="default" w:ascii="Times New Roman" w:hAnsi="Times New Roman" w:eastAsia="仿宋_GB2312" w:cs="Times New Roman"/>
          <w:b w:val="0"/>
          <w:bCs/>
          <w:kern w:val="0"/>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公共停车泊位类型统计数据</w:t>
      </w:r>
    </w:p>
    <w:p w14:paraId="7AF4C274">
      <w:pPr>
        <w:pageBreakBefore w:val="0"/>
        <w:widowControl w:val="0"/>
        <w:kinsoku/>
        <w:wordWrap/>
        <w:overflowPunct/>
        <w:topLinePunct w:val="0"/>
        <w:autoSpaceDE/>
        <w:autoSpaceDN/>
        <w:bidi w:val="0"/>
        <w:adjustRightInd/>
        <w:spacing w:line="520" w:lineRule="exact"/>
        <w:ind w:left="0" w:leftChars="0" w:right="0" w:rightChars="0" w:firstLine="640" w:firstLineChars="200"/>
        <w:jc w:val="both"/>
        <w:textAlignment w:val="auto"/>
        <w:rPr>
          <w:rFonts w:hint="default" w:ascii="Times New Roman" w:hAnsi="Times New Roman" w:eastAsia="仿宋_GB2312" w:cs="Times New Roman"/>
          <w:b w:val="0"/>
          <w:bCs/>
          <w:kern w:val="0"/>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通过配置全量推送及定时增量同步任务，系统自动提取全省各地市每月填报的公共停车泊位进行汇总统计，将统计后的信息推送至福建省住建行业运行监测系统。</w:t>
      </w:r>
    </w:p>
    <w:p w14:paraId="35C35766">
      <w:pPr>
        <w:pStyle w:val="5"/>
        <w:pageBreakBefore w:val="0"/>
        <w:widowControl w:val="0"/>
        <w:numPr>
          <w:ilvl w:val="1"/>
          <w:numId w:val="0"/>
        </w:numPr>
        <w:tabs>
          <w:tab w:val="clear" w:pos="425"/>
        </w:tabs>
        <w:kinsoku/>
        <w:wordWrap/>
        <w:overflowPunct/>
        <w:topLinePunct w:val="0"/>
        <w:autoSpaceDE/>
        <w:autoSpaceDN/>
        <w:bidi w:val="0"/>
        <w:adjustRightInd/>
        <w:spacing w:beforeLines="0" w:afterLines="0" w:line="520" w:lineRule="exact"/>
        <w:ind w:left="0" w:leftChars="0" w:right="0" w:rightChars="0" w:firstLine="643" w:firstLineChars="200"/>
        <w:jc w:val="both"/>
        <w:textAlignment w:val="auto"/>
        <w:rPr>
          <w:rFonts w:hint="default" w:ascii="Times New Roman" w:hAnsi="Times New Roman" w:eastAsia="楷体_GB2312" w:cs="Times New Roman"/>
          <w:sz w:val="32"/>
          <w:szCs w:val="32"/>
          <w:lang w:val="en-US" w:eastAsia="zh-CN"/>
        </w:rPr>
      </w:pPr>
      <w:bookmarkStart w:id="38" w:name="_Toc24111"/>
      <w:r>
        <w:rPr>
          <w:rFonts w:hint="default" w:ascii="Times New Roman" w:hAnsi="Times New Roman" w:eastAsia="楷体_GB2312" w:cs="Times New Roman"/>
          <w:sz w:val="32"/>
          <w:szCs w:val="32"/>
          <w:lang w:val="en-US" w:eastAsia="zh-CN"/>
        </w:rPr>
        <w:t>（五）支持闽政通登录认证</w:t>
      </w:r>
      <w:bookmarkEnd w:id="38"/>
    </w:p>
    <w:p w14:paraId="5B44EF59">
      <w:pPr>
        <w:pStyle w:val="5"/>
        <w:pageBreakBefore w:val="0"/>
        <w:numPr>
          <w:ilvl w:val="1"/>
          <w:numId w:val="0"/>
        </w:numPr>
        <w:tabs>
          <w:tab w:val="clear" w:pos="567"/>
        </w:tabs>
        <w:kinsoku/>
        <w:wordWrap/>
        <w:overflowPunct/>
        <w:topLinePunct w:val="0"/>
        <w:autoSpaceDE/>
        <w:autoSpaceDN/>
        <w:bidi w:val="0"/>
        <w:adjustRightInd/>
        <w:snapToGrid/>
        <w:spacing w:beforeLines="0" w:afterLines="0" w:line="520" w:lineRule="exact"/>
        <w:ind w:left="0" w:leftChars="0" w:right="0" w:rightChars="0" w:firstLine="640" w:firstLineChars="200"/>
        <w:textAlignment w:val="auto"/>
        <w:rPr>
          <w:rFonts w:hint="default" w:ascii="Times New Roman" w:hAnsi="Times New Roman" w:eastAsia="仿宋_GB2312" w:cs="Times New Roman"/>
          <w:b w:val="0"/>
          <w:bCs/>
          <w:color w:val="000000"/>
          <w:kern w:val="2"/>
          <w:sz w:val="32"/>
          <w:szCs w:val="32"/>
          <w:lang w:val="en-US" w:eastAsia="zh-CN" w:bidi="ar-SA"/>
        </w:rPr>
      </w:pPr>
      <w:r>
        <w:rPr>
          <w:rFonts w:hint="default" w:ascii="Times New Roman" w:hAnsi="Times New Roman" w:eastAsia="仿宋_GB2312" w:cs="Times New Roman"/>
          <w:b w:val="0"/>
          <w:bCs/>
          <w:color w:val="000000"/>
          <w:kern w:val="2"/>
          <w:sz w:val="32"/>
          <w:szCs w:val="32"/>
          <w:lang w:val="en-US" w:eastAsia="zh-CN" w:bidi="ar-SA"/>
        </w:rPr>
        <w:t>对系统的用户认证模块进行改造，与福建省数字身份管理服务平台进行身份验证对接，实现闽政通登录功能。</w:t>
      </w:r>
    </w:p>
    <w:p w14:paraId="536B5196">
      <w:pPr>
        <w:pStyle w:val="5"/>
        <w:pageBreakBefore w:val="0"/>
        <w:numPr>
          <w:ilvl w:val="1"/>
          <w:numId w:val="0"/>
        </w:numPr>
        <w:tabs>
          <w:tab w:val="clear" w:pos="567"/>
        </w:tabs>
        <w:kinsoku/>
        <w:wordWrap/>
        <w:overflowPunct/>
        <w:topLinePunct w:val="0"/>
        <w:autoSpaceDE/>
        <w:autoSpaceDN/>
        <w:bidi w:val="0"/>
        <w:adjustRightInd/>
        <w:snapToGrid/>
        <w:spacing w:beforeLines="0" w:afterLines="0" w:line="520" w:lineRule="exact"/>
        <w:ind w:left="0" w:leftChars="0" w:right="0" w:rightChars="0" w:firstLine="640" w:firstLineChars="200"/>
        <w:textAlignment w:val="auto"/>
        <w:rPr>
          <w:rFonts w:hint="default" w:ascii="Times New Roman" w:hAnsi="Times New Roman" w:eastAsia="黑体" w:cs="Times New Roman"/>
          <w:b w:val="0"/>
          <w:bCs w:val="0"/>
          <w:kern w:val="44"/>
          <w:sz w:val="32"/>
          <w:szCs w:val="32"/>
          <w:lang w:val="en-US" w:eastAsia="zh-CN" w:bidi="ar-SA"/>
        </w:rPr>
      </w:pPr>
      <w:r>
        <w:rPr>
          <w:rFonts w:hint="default" w:ascii="Times New Roman" w:hAnsi="Times New Roman" w:eastAsia="黑体" w:cs="Times New Roman"/>
          <w:b w:val="0"/>
          <w:bCs w:val="0"/>
          <w:kern w:val="44"/>
          <w:sz w:val="32"/>
          <w:szCs w:val="32"/>
          <w:lang w:val="en-US" w:eastAsia="zh-CN" w:bidi="ar-SA"/>
        </w:rPr>
        <w:t>四、技术服务要求</w:t>
      </w:r>
    </w:p>
    <w:p w14:paraId="0F6D2E09">
      <w:pPr>
        <w:pStyle w:val="8"/>
        <w:pageBreakBefore w:val="0"/>
        <w:widowControl w:val="0"/>
        <w:numPr>
          <w:ilvl w:val="3"/>
          <w:numId w:val="0"/>
        </w:numPr>
        <w:kinsoku/>
        <w:wordWrap/>
        <w:overflowPunct/>
        <w:topLinePunct w:val="0"/>
        <w:autoSpaceDE/>
        <w:autoSpaceDN/>
        <w:bidi w:val="0"/>
        <w:adjustRightInd/>
        <w:spacing w:before="0" w:after="0" w:line="52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lang w:val="en-US" w:eastAsia="zh-CN"/>
        </w:rPr>
        <w:t>安装和调试</w:t>
      </w:r>
    </w:p>
    <w:p w14:paraId="171F939C">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中标人应按合同</w:t>
      </w:r>
      <w:r>
        <w:rPr>
          <w:rFonts w:hint="default" w:ascii="Times New Roman" w:hAnsi="Times New Roman" w:cs="Times New Roman"/>
          <w:kern w:val="2"/>
          <w:sz w:val="32"/>
          <w:szCs w:val="32"/>
          <w:lang w:val="en-US" w:eastAsia="zh-CN" w:bidi="ar-SA"/>
        </w:rPr>
        <w:t>约定</w:t>
      </w:r>
      <w:r>
        <w:rPr>
          <w:rFonts w:hint="default" w:ascii="Times New Roman" w:hAnsi="Times New Roman" w:eastAsia="仿宋_GB2312" w:cs="Times New Roman"/>
          <w:kern w:val="2"/>
          <w:sz w:val="32"/>
          <w:szCs w:val="32"/>
          <w:lang w:val="en-US" w:eastAsia="zh-CN" w:bidi="ar-SA"/>
        </w:rPr>
        <w:t>的时间完成软件开发</w:t>
      </w:r>
      <w:r>
        <w:rPr>
          <w:rFonts w:hint="default" w:ascii="Times New Roman" w:hAnsi="Times New Roman" w:cs="Times New Roman"/>
          <w:kern w:val="2"/>
          <w:sz w:val="32"/>
          <w:szCs w:val="32"/>
          <w:lang w:val="en-US" w:eastAsia="zh-CN" w:bidi="ar-SA"/>
        </w:rPr>
        <w:t>、部署及测</w:t>
      </w:r>
      <w:r>
        <w:rPr>
          <w:rFonts w:hint="default" w:ascii="Times New Roman" w:hAnsi="Times New Roman" w:eastAsia="仿宋_GB2312" w:cs="Times New Roman"/>
          <w:kern w:val="2"/>
          <w:sz w:val="32"/>
          <w:szCs w:val="32"/>
          <w:lang w:val="en-US" w:eastAsia="zh-CN" w:bidi="ar-SA"/>
        </w:rPr>
        <w:t>试，系统经最终验收合格后，交付</w:t>
      </w:r>
      <w:r>
        <w:rPr>
          <w:rFonts w:hint="default" w:ascii="Times New Roman" w:hAnsi="Times New Roman" w:cs="Times New Roman"/>
          <w:kern w:val="2"/>
          <w:sz w:val="32"/>
          <w:szCs w:val="32"/>
          <w:lang w:val="en-US" w:eastAsia="zh-CN" w:bidi="ar-SA"/>
        </w:rPr>
        <w:t>采购</w:t>
      </w:r>
      <w:r>
        <w:rPr>
          <w:rFonts w:hint="default" w:ascii="Times New Roman" w:hAnsi="Times New Roman" w:eastAsia="仿宋_GB2312" w:cs="Times New Roman"/>
          <w:kern w:val="2"/>
          <w:sz w:val="32"/>
          <w:szCs w:val="32"/>
          <w:lang w:val="en-US" w:eastAsia="zh-CN" w:bidi="ar-SA"/>
        </w:rPr>
        <w:t>人使用。</w:t>
      </w:r>
    </w:p>
    <w:p w14:paraId="4FB85DF5">
      <w:pPr>
        <w:pStyle w:val="7"/>
        <w:pageBreakBefore w:val="0"/>
        <w:numPr>
          <w:ilvl w:val="2"/>
          <w:numId w:val="0"/>
        </w:numPr>
        <w:tabs>
          <w:tab w:val="clear" w:pos="567"/>
        </w:tabs>
        <w:kinsoku/>
        <w:wordWrap/>
        <w:overflowPunct/>
        <w:topLinePunct w:val="0"/>
        <w:autoSpaceDE/>
        <w:autoSpaceDN/>
        <w:bidi w:val="0"/>
        <w:adjustRightInd/>
        <w:snapToGrid/>
        <w:spacing w:beforeLines="0" w:afterLines="0" w:line="52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2</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rPr>
        <w:t>验收</w:t>
      </w:r>
    </w:p>
    <w:p w14:paraId="2EF8EF19">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系统按照招标</w:t>
      </w:r>
      <w:r>
        <w:rPr>
          <w:rFonts w:hint="default" w:ascii="Times New Roman" w:hAnsi="Times New Roman" w:cs="Times New Roman"/>
          <w:kern w:val="2"/>
          <w:sz w:val="32"/>
          <w:szCs w:val="32"/>
          <w:lang w:val="en-US" w:eastAsia="zh-CN" w:bidi="ar-SA"/>
        </w:rPr>
        <w:t>公告</w:t>
      </w:r>
      <w:r>
        <w:rPr>
          <w:rFonts w:hint="default" w:ascii="Times New Roman" w:hAnsi="Times New Roman" w:eastAsia="仿宋_GB2312" w:cs="Times New Roman"/>
          <w:kern w:val="2"/>
          <w:sz w:val="32"/>
          <w:szCs w:val="32"/>
          <w:lang w:val="en-US" w:eastAsia="zh-CN" w:bidi="ar-SA"/>
        </w:rPr>
        <w:t>、合同以及相关规范要求进行验收。</w:t>
      </w:r>
    </w:p>
    <w:p w14:paraId="78865DC9">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（1）</w:t>
      </w:r>
      <w:r>
        <w:rPr>
          <w:rFonts w:hint="default" w:ascii="Times New Roman" w:hAnsi="Times New Roman" w:eastAsia="仿宋_GB2312" w:cs="Times New Roman"/>
          <w:kern w:val="2"/>
          <w:sz w:val="32"/>
          <w:szCs w:val="32"/>
          <w:lang w:val="en-US" w:eastAsia="zh-CN" w:bidi="ar-SA"/>
        </w:rPr>
        <w:t>软件设计开发完成后，须经</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对软件的性能、功能、相关文档资料等检查认可后，才能进行系统最终验收申请。若系统调试过程中无法满足</w:t>
      </w:r>
      <w:r>
        <w:rPr>
          <w:rFonts w:hint="default" w:ascii="Times New Roman" w:hAnsi="Times New Roman" w:cs="Times New Roman"/>
          <w:kern w:val="2"/>
          <w:sz w:val="32"/>
          <w:szCs w:val="32"/>
          <w:lang w:val="en-US" w:eastAsia="zh-CN" w:bidi="ar-SA"/>
        </w:rPr>
        <w:t>合同</w:t>
      </w:r>
      <w:r>
        <w:rPr>
          <w:rFonts w:hint="default" w:ascii="Times New Roman" w:hAnsi="Times New Roman" w:eastAsia="仿宋_GB2312" w:cs="Times New Roman"/>
          <w:kern w:val="2"/>
          <w:sz w:val="32"/>
          <w:szCs w:val="32"/>
          <w:lang w:val="en-US" w:eastAsia="zh-CN" w:bidi="ar-SA"/>
        </w:rPr>
        <w:t>要求或提供的系统软件存在重大缺陷或发现系统软件重大问题不断，</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有权视情况拒绝进行最终验收。</w:t>
      </w:r>
    </w:p>
    <w:p w14:paraId="53F6B5B9">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w:t>
      </w:r>
      <w:r>
        <w:rPr>
          <w:rFonts w:hint="eastAsia" w:ascii="Times New Roman" w:hAnsi="Times New Roman" w:cs="Times New Roman"/>
          <w:b w:val="0"/>
          <w:bCs/>
          <w:kern w:val="0"/>
          <w:sz w:val="32"/>
          <w:szCs w:val="32"/>
          <w:lang w:val="en-US" w:eastAsia="zh-CN" w:bidi="ar-SA"/>
        </w:rPr>
        <w:t>2</w:t>
      </w:r>
      <w:r>
        <w:rPr>
          <w:rFonts w:hint="default" w:ascii="Times New Roman" w:hAnsi="Times New Roman" w:eastAsia="仿宋_GB2312" w:cs="Times New Roman"/>
          <w:b w:val="0"/>
          <w:bCs/>
          <w:kern w:val="0"/>
          <w:sz w:val="32"/>
          <w:szCs w:val="32"/>
          <w:lang w:val="en-US" w:eastAsia="zh-CN" w:bidi="ar-SA"/>
        </w:rPr>
        <w:t>）</w:t>
      </w:r>
      <w:r>
        <w:rPr>
          <w:rFonts w:hint="default" w:ascii="Times New Roman" w:hAnsi="Times New Roman" w:eastAsia="仿宋_GB2312" w:cs="Times New Roman"/>
          <w:kern w:val="2"/>
          <w:sz w:val="32"/>
          <w:szCs w:val="32"/>
          <w:lang w:val="en-US" w:eastAsia="zh-CN" w:bidi="ar-SA"/>
        </w:rPr>
        <w:t>申请系统最终验收时，中标人需按</w:t>
      </w:r>
      <w:r>
        <w:rPr>
          <w:rFonts w:hint="default" w:ascii="Times New Roman" w:hAnsi="Times New Roman" w:cs="Times New Roman"/>
          <w:kern w:val="2"/>
          <w:sz w:val="32"/>
          <w:szCs w:val="32"/>
          <w:lang w:val="en-US" w:eastAsia="zh-CN" w:bidi="ar-SA"/>
        </w:rPr>
        <w:t>合同</w:t>
      </w:r>
      <w:r>
        <w:rPr>
          <w:rFonts w:hint="default" w:ascii="Times New Roman" w:hAnsi="Times New Roman" w:eastAsia="仿宋_GB2312" w:cs="Times New Roman"/>
          <w:kern w:val="2"/>
          <w:sz w:val="32"/>
          <w:szCs w:val="32"/>
          <w:lang w:val="en-US" w:eastAsia="zh-CN" w:bidi="ar-SA"/>
        </w:rPr>
        <w:t>要求提供相应验收材料</w:t>
      </w:r>
      <w:r>
        <w:rPr>
          <w:rFonts w:hint="default"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终验验收程序按照</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要求进行。</w:t>
      </w:r>
    </w:p>
    <w:p w14:paraId="67732461">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w:t>
      </w:r>
      <w:r>
        <w:rPr>
          <w:rFonts w:hint="eastAsia" w:ascii="Times New Roman" w:hAnsi="Times New Roman" w:cs="Times New Roman"/>
          <w:b w:val="0"/>
          <w:bCs/>
          <w:kern w:val="0"/>
          <w:sz w:val="32"/>
          <w:szCs w:val="32"/>
          <w:lang w:val="en-US" w:eastAsia="zh-CN" w:bidi="ar-SA"/>
        </w:rPr>
        <w:t>3</w:t>
      </w:r>
      <w:r>
        <w:rPr>
          <w:rFonts w:hint="default" w:ascii="Times New Roman" w:hAnsi="Times New Roman" w:eastAsia="仿宋_GB2312" w:cs="Times New Roman"/>
          <w:b w:val="0"/>
          <w:bCs/>
          <w:kern w:val="0"/>
          <w:sz w:val="32"/>
          <w:szCs w:val="32"/>
          <w:lang w:val="en-US" w:eastAsia="zh-CN" w:bidi="ar-SA"/>
        </w:rPr>
        <w:t>）</w:t>
      </w:r>
      <w:r>
        <w:rPr>
          <w:rFonts w:hint="default" w:ascii="Times New Roman" w:hAnsi="Times New Roman" w:cs="Times New Roman"/>
          <w:kern w:val="2"/>
          <w:sz w:val="32"/>
          <w:szCs w:val="32"/>
          <w:lang w:val="en-US" w:eastAsia="zh-CN" w:bidi="ar-SA"/>
        </w:rPr>
        <w:t>系统开发过程中，</w:t>
      </w:r>
      <w:r>
        <w:rPr>
          <w:rFonts w:hint="default" w:ascii="Times New Roman" w:hAnsi="Times New Roman" w:eastAsia="仿宋_GB2312" w:cs="Times New Roman"/>
          <w:kern w:val="2"/>
          <w:sz w:val="32"/>
          <w:szCs w:val="32"/>
          <w:lang w:val="en-US" w:eastAsia="zh-CN" w:bidi="ar-SA"/>
        </w:rPr>
        <w:t>如需使用第三方的控件、组件、软件开发包等，均由</w:t>
      </w:r>
      <w:r>
        <w:rPr>
          <w:rFonts w:hint="default" w:ascii="Times New Roman" w:hAnsi="Times New Roman" w:cs="Times New Roman"/>
          <w:kern w:val="2"/>
          <w:sz w:val="32"/>
          <w:szCs w:val="32"/>
          <w:lang w:val="en-US" w:eastAsia="zh-CN" w:bidi="ar-SA"/>
        </w:rPr>
        <w:t>中标</w:t>
      </w:r>
      <w:r>
        <w:rPr>
          <w:rFonts w:hint="default" w:ascii="Times New Roman" w:hAnsi="Times New Roman" w:eastAsia="仿宋_GB2312" w:cs="Times New Roman"/>
          <w:kern w:val="2"/>
          <w:sz w:val="32"/>
          <w:szCs w:val="32"/>
          <w:lang w:val="en-US" w:eastAsia="zh-CN" w:bidi="ar-SA"/>
        </w:rPr>
        <w:t>人负责提供</w:t>
      </w:r>
      <w:r>
        <w:rPr>
          <w:rFonts w:hint="default"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中标人在</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现场进行安装、调试直至最终验收所发生的一切费用由中标人承担且已包含在本次报价总价中。</w:t>
      </w:r>
    </w:p>
    <w:p w14:paraId="77353074">
      <w:pPr>
        <w:pStyle w:val="7"/>
        <w:pageBreakBefore w:val="0"/>
        <w:numPr>
          <w:ilvl w:val="2"/>
          <w:numId w:val="0"/>
        </w:numPr>
        <w:tabs>
          <w:tab w:val="clear" w:pos="567"/>
        </w:tabs>
        <w:kinsoku/>
        <w:wordWrap/>
        <w:overflowPunct/>
        <w:topLinePunct w:val="0"/>
        <w:autoSpaceDE/>
        <w:autoSpaceDN/>
        <w:bidi w:val="0"/>
        <w:adjustRightInd/>
        <w:snapToGrid/>
        <w:spacing w:beforeLines="0" w:afterLines="0" w:line="52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3</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rPr>
        <w:t>技术培训</w:t>
      </w:r>
    </w:p>
    <w:p w14:paraId="7725C8B7">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cs="Times New Roman"/>
          <w:kern w:val="2"/>
          <w:sz w:val="32"/>
          <w:szCs w:val="32"/>
          <w:lang w:val="en-US" w:eastAsia="zh-CN" w:bidi="ar-SA"/>
        </w:rPr>
        <w:t>中标</w:t>
      </w:r>
      <w:r>
        <w:rPr>
          <w:rFonts w:hint="default" w:ascii="Times New Roman" w:hAnsi="Times New Roman" w:eastAsia="仿宋_GB2312" w:cs="Times New Roman"/>
          <w:kern w:val="2"/>
          <w:sz w:val="32"/>
          <w:szCs w:val="32"/>
          <w:lang w:val="en-US" w:eastAsia="zh-CN" w:bidi="ar-SA"/>
        </w:rPr>
        <w:t>人应结合系统安装、调试、最终验收等各阶段，对</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相关技术人员就有关系统软件的操作使用、故障处理、日常测试维护等方面进行技术培训，使受训人员能熟练掌握。</w:t>
      </w:r>
    </w:p>
    <w:p w14:paraId="0BD7626D">
      <w:pPr>
        <w:pStyle w:val="7"/>
        <w:pageBreakBefore w:val="0"/>
        <w:numPr>
          <w:ilvl w:val="2"/>
          <w:numId w:val="0"/>
        </w:numPr>
        <w:tabs>
          <w:tab w:val="clear" w:pos="567"/>
        </w:tabs>
        <w:kinsoku/>
        <w:wordWrap/>
        <w:overflowPunct/>
        <w:topLinePunct w:val="0"/>
        <w:autoSpaceDE/>
        <w:autoSpaceDN/>
        <w:bidi w:val="0"/>
        <w:adjustRightInd/>
        <w:snapToGrid/>
        <w:spacing w:beforeLines="0" w:afterLines="0" w:line="52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4</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rPr>
        <w:t>技术资料</w:t>
      </w:r>
    </w:p>
    <w:p w14:paraId="12B7D556">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系统最终验收合格后，中标人应向</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提供不少于下列的资料：</w:t>
      </w:r>
    </w:p>
    <w:p w14:paraId="2A665532">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（1）</w:t>
      </w:r>
      <w:r>
        <w:rPr>
          <w:rFonts w:hint="default" w:ascii="Times New Roman" w:hAnsi="Times New Roman" w:eastAsia="仿宋_GB2312" w:cs="Times New Roman"/>
          <w:kern w:val="2"/>
          <w:sz w:val="32"/>
          <w:szCs w:val="32"/>
          <w:lang w:val="en-US" w:eastAsia="zh-CN" w:bidi="ar-SA"/>
        </w:rPr>
        <w:t>系统软件、系统源代码及系统建设技术方案；</w:t>
      </w:r>
    </w:p>
    <w:p w14:paraId="0372AB9B">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w:t>
      </w:r>
      <w:r>
        <w:rPr>
          <w:rFonts w:hint="eastAsia" w:ascii="Times New Roman" w:hAnsi="Times New Roman" w:cs="Times New Roman"/>
          <w:b w:val="0"/>
          <w:bCs/>
          <w:kern w:val="0"/>
          <w:sz w:val="32"/>
          <w:szCs w:val="32"/>
          <w:lang w:val="en-US" w:eastAsia="zh-CN" w:bidi="ar-SA"/>
        </w:rPr>
        <w:t>2</w:t>
      </w:r>
      <w:r>
        <w:rPr>
          <w:rFonts w:hint="default" w:ascii="Times New Roman" w:hAnsi="Times New Roman" w:eastAsia="仿宋_GB2312" w:cs="Times New Roman"/>
          <w:b w:val="0"/>
          <w:bCs/>
          <w:kern w:val="0"/>
          <w:sz w:val="32"/>
          <w:szCs w:val="32"/>
          <w:lang w:val="en-US" w:eastAsia="zh-CN" w:bidi="ar-SA"/>
        </w:rPr>
        <w:t>）</w:t>
      </w:r>
      <w:r>
        <w:rPr>
          <w:rFonts w:hint="default" w:ascii="Times New Roman" w:hAnsi="Times New Roman" w:eastAsia="仿宋_GB2312" w:cs="Times New Roman"/>
          <w:kern w:val="2"/>
          <w:sz w:val="32"/>
          <w:szCs w:val="32"/>
          <w:lang w:val="en-US" w:eastAsia="zh-CN" w:bidi="ar-SA"/>
        </w:rPr>
        <w:t>系统用户手册、</w:t>
      </w:r>
      <w:r>
        <w:rPr>
          <w:rFonts w:hint="default" w:ascii="Times New Roman" w:hAnsi="Times New Roman" w:cs="Times New Roman"/>
          <w:kern w:val="2"/>
          <w:sz w:val="32"/>
          <w:szCs w:val="32"/>
          <w:lang w:val="en-US" w:eastAsia="zh-CN" w:bidi="ar-SA"/>
        </w:rPr>
        <w:t>需求说明书</w:t>
      </w:r>
      <w:r>
        <w:rPr>
          <w:rFonts w:hint="default" w:ascii="Times New Roman" w:hAnsi="Times New Roman" w:eastAsia="仿宋_GB2312" w:cs="Times New Roman"/>
          <w:kern w:val="2"/>
          <w:sz w:val="32"/>
          <w:szCs w:val="32"/>
          <w:lang w:val="en-US" w:eastAsia="zh-CN" w:bidi="ar-SA"/>
        </w:rPr>
        <w:t>、详细设计说明书、系统测试报告等技术手册；</w:t>
      </w:r>
    </w:p>
    <w:p w14:paraId="6CA05588">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kern w:val="0"/>
          <w:sz w:val="32"/>
          <w:szCs w:val="32"/>
          <w:lang w:val="en-US" w:eastAsia="zh-CN" w:bidi="ar-SA"/>
        </w:rPr>
        <w:t>（</w:t>
      </w:r>
      <w:r>
        <w:rPr>
          <w:rFonts w:hint="eastAsia" w:ascii="Times New Roman" w:hAnsi="Times New Roman" w:cs="Times New Roman"/>
          <w:b w:val="0"/>
          <w:bCs/>
          <w:kern w:val="0"/>
          <w:sz w:val="32"/>
          <w:szCs w:val="32"/>
          <w:lang w:val="en-US" w:eastAsia="zh-CN" w:bidi="ar-SA"/>
        </w:rPr>
        <w:t>3</w:t>
      </w:r>
      <w:r>
        <w:rPr>
          <w:rFonts w:hint="default" w:ascii="Times New Roman" w:hAnsi="Times New Roman" w:eastAsia="仿宋_GB2312" w:cs="Times New Roman"/>
          <w:b w:val="0"/>
          <w:bCs/>
          <w:kern w:val="0"/>
          <w:sz w:val="32"/>
          <w:szCs w:val="32"/>
          <w:lang w:val="en-US" w:eastAsia="zh-CN" w:bidi="ar-SA"/>
        </w:rPr>
        <w:t>）</w:t>
      </w:r>
      <w:r>
        <w:rPr>
          <w:rFonts w:hint="default" w:ascii="Times New Roman" w:hAnsi="Times New Roman" w:eastAsia="仿宋_GB2312" w:cs="Times New Roman"/>
          <w:kern w:val="2"/>
          <w:sz w:val="32"/>
          <w:szCs w:val="32"/>
          <w:lang w:val="en-US" w:eastAsia="zh-CN" w:bidi="ar-SA"/>
        </w:rPr>
        <w:t>其他应提交的相关资料。</w:t>
      </w:r>
    </w:p>
    <w:p w14:paraId="33E904F8">
      <w:pPr>
        <w:pStyle w:val="7"/>
        <w:pageBreakBefore w:val="0"/>
        <w:numPr>
          <w:ilvl w:val="2"/>
          <w:numId w:val="0"/>
        </w:numPr>
        <w:tabs>
          <w:tab w:val="clear" w:pos="567"/>
        </w:tabs>
        <w:kinsoku/>
        <w:wordWrap/>
        <w:overflowPunct/>
        <w:topLinePunct w:val="0"/>
        <w:autoSpaceDE/>
        <w:autoSpaceDN/>
        <w:bidi w:val="0"/>
        <w:adjustRightInd/>
        <w:snapToGrid/>
        <w:spacing w:beforeLines="0" w:afterLines="0" w:line="52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5</w:t>
      </w:r>
      <w:r>
        <w:rPr>
          <w:rFonts w:hint="default" w:ascii="Times New Roman" w:hAnsi="Times New Roman" w:cs="Times New Roman"/>
          <w:bCs/>
          <w:sz w:val="32"/>
          <w:szCs w:val="32"/>
          <w:lang w:val="en-US" w:eastAsia="zh-CN"/>
        </w:rPr>
        <w:t>．</w:t>
      </w:r>
      <w:r>
        <w:rPr>
          <w:rFonts w:hint="default" w:ascii="Times New Roman" w:hAnsi="Times New Roman" w:eastAsia="仿宋_GB2312" w:cs="Times New Roman"/>
          <w:sz w:val="32"/>
          <w:szCs w:val="32"/>
        </w:rPr>
        <w:t>质量保修期和售后支持服务</w:t>
      </w:r>
    </w:p>
    <w:p w14:paraId="15D78E3A">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（1）质量保修期要求为系统经最终验收合格后2年。在质量保修期内，中标人应为</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提供2年的免费保修和维护服务，在接到</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求助电话后4小时内现场响应，8小时修复。在</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授权许可的情况下，中标人可通过互联网进行某些维护和故障诊断工作。中标人同时应提供7X24小时电话热线咨询服务。</w:t>
      </w:r>
    </w:p>
    <w:p w14:paraId="3BA05E3C">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（2）系统质量保修期内中标人应向</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提供免费系统软件升级服务，如系统投入使用后</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需要增加新业务或已有业务发生改变时，在合理的范围内，中标人应免费提供软件升级、修改和维护。</w:t>
      </w:r>
    </w:p>
    <w:p w14:paraId="19505B94">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（3）系统在上线使用期间，一旦发现系统自身存在错误或漏洞等问题，中标人均须负责修复，</w:t>
      </w:r>
      <w:r>
        <w:rPr>
          <w:rFonts w:hint="default" w:ascii="Times New Roman" w:hAnsi="Times New Roman" w:eastAsia="仿宋_GB2312" w:cs="Times New Roman"/>
          <w:sz w:val="32"/>
          <w:szCs w:val="32"/>
          <w:lang w:val="en-US" w:eastAsia="zh-CN"/>
        </w:rPr>
        <w:t>及时升级最新的系统安全补丁，</w:t>
      </w:r>
      <w:r>
        <w:rPr>
          <w:rFonts w:hint="default" w:ascii="Times New Roman" w:hAnsi="Times New Roman" w:eastAsia="仿宋_GB2312" w:cs="Times New Roman"/>
          <w:kern w:val="2"/>
          <w:sz w:val="32"/>
          <w:szCs w:val="32"/>
          <w:lang w:val="en-US" w:eastAsia="zh-CN" w:bidi="ar-SA"/>
        </w:rPr>
        <w:t>保证系统的安全、正常的使用。</w:t>
      </w:r>
    </w:p>
    <w:p w14:paraId="183FE2B5">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（4）质量保修期内中标人还应负责提供24小时的包括系统管理的全部技术支持。</w:t>
      </w:r>
    </w:p>
    <w:p w14:paraId="62CB4B4E">
      <w:pPr>
        <w:pStyle w:val="13"/>
        <w:pageBreakBefore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（5）2年质量保修期满后，中标人有责任对系统软件的运行、管理以及维护进行定期的技术指导。系统自身的错误、漏洞等引起的修复工作不受两年运维期的限制。</w:t>
      </w:r>
    </w:p>
    <w:p w14:paraId="2684F7E9">
      <w:pPr>
        <w:pStyle w:val="4"/>
        <w:pageBreakBefore w:val="0"/>
        <w:numPr>
          <w:ilvl w:val="0"/>
          <w:numId w:val="0"/>
        </w:numPr>
        <w:kinsoku/>
        <w:wordWrap/>
        <w:overflowPunct/>
        <w:topLinePunct w:val="0"/>
        <w:autoSpaceDE/>
        <w:autoSpaceDN/>
        <w:bidi w:val="0"/>
        <w:adjustRightInd/>
        <w:snapToGrid/>
        <w:spacing w:beforeLines="0" w:afterLines="0" w:line="520" w:lineRule="exact"/>
        <w:ind w:left="0" w:leftChars="0" w:right="0" w:rightChars="0"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五、其他事项</w:t>
      </w:r>
    </w:p>
    <w:p w14:paraId="64021438">
      <w:pPr>
        <w:pStyle w:val="7"/>
        <w:pageBreakBefore w:val="0"/>
        <w:numPr>
          <w:ilvl w:val="2"/>
          <w:numId w:val="0"/>
        </w:numPr>
        <w:tabs>
          <w:tab w:val="clear" w:pos="567"/>
        </w:tabs>
        <w:kinsoku/>
        <w:wordWrap/>
        <w:overflowPunct/>
        <w:topLinePunct w:val="0"/>
        <w:autoSpaceDE/>
        <w:autoSpaceDN/>
        <w:bidi w:val="0"/>
        <w:adjustRightInd/>
        <w:snapToGrid/>
        <w:spacing w:beforeLines="0" w:afterLines="0" w:line="520" w:lineRule="exact"/>
        <w:ind w:left="0" w:leftChars="0" w:right="0" w:rightChars="0" w:firstLine="643"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cs="Times New Roman"/>
          <w:bCs/>
          <w:sz w:val="32"/>
          <w:szCs w:val="32"/>
          <w:lang w:val="en-US" w:eastAsia="zh-CN"/>
        </w:rPr>
        <w:t>．</w:t>
      </w:r>
      <w:r>
        <w:rPr>
          <w:rFonts w:hint="default" w:ascii="Times New Roman" w:hAnsi="Times New Roman" w:cs="Times New Roman"/>
          <w:sz w:val="32"/>
          <w:szCs w:val="32"/>
          <w:lang w:val="en-US" w:eastAsia="zh-CN"/>
        </w:rPr>
        <w:t>交付周期</w:t>
      </w:r>
    </w:p>
    <w:p w14:paraId="4E9800F4">
      <w:pPr>
        <w:pageBreakBefore w:val="0"/>
        <w:shd w:val="clear" w:color="auto" w:fill="FFFFFF"/>
        <w:kinsoku/>
        <w:wordWrap/>
        <w:overflowPunct/>
        <w:topLinePunct w:val="0"/>
        <w:autoSpaceDE/>
        <w:autoSpaceDN/>
        <w:bidi w:val="0"/>
        <w:adjustRightInd/>
        <w:spacing w:line="520" w:lineRule="exact"/>
        <w:ind w:left="0" w:leftChars="0" w:right="0" w:rightChars="0" w:firstLine="640" w:firstLineChars="200"/>
        <w:jc w:val="left"/>
        <w:rPr>
          <w:rFonts w:hint="default" w:ascii="Times New Roman" w:hAnsi="Times New Roman" w:eastAsia="仿宋_GB2312" w:cs="Times New Roman"/>
          <w:color w:val="000000"/>
          <w:szCs w:val="32"/>
          <w:shd w:val="clear" w:color="auto" w:fill="FFFFFF"/>
          <w:lang w:val="en-US" w:eastAsia="zh-CN"/>
        </w:rPr>
      </w:pPr>
      <w:r>
        <w:rPr>
          <w:rFonts w:hint="default" w:ascii="Times New Roman" w:hAnsi="Times New Roman" w:eastAsia="仿宋_GB2312" w:cs="Times New Roman"/>
          <w:color w:val="000000"/>
          <w:szCs w:val="32"/>
          <w:shd w:val="clear" w:color="auto" w:fill="FFFFFF"/>
        </w:rPr>
        <w:t>自合同签订之日起</w:t>
      </w:r>
      <w:r>
        <w:rPr>
          <w:rFonts w:hint="default" w:ascii="Times New Roman" w:hAnsi="Times New Roman" w:cs="Times New Roman"/>
          <w:color w:val="000000"/>
          <w:szCs w:val="32"/>
          <w:shd w:val="clear" w:color="auto" w:fill="FFFFFF"/>
          <w:lang w:val="en-US" w:eastAsia="zh-CN"/>
        </w:rPr>
        <w:t>6</w:t>
      </w:r>
      <w:r>
        <w:rPr>
          <w:rFonts w:hint="default" w:ascii="Times New Roman" w:hAnsi="Times New Roman" w:eastAsia="仿宋_GB2312" w:cs="Times New Roman"/>
          <w:color w:val="000000"/>
          <w:szCs w:val="32"/>
          <w:shd w:val="clear" w:color="auto" w:fill="FFFFFF"/>
        </w:rPr>
        <w:t>个月内完成</w:t>
      </w:r>
      <w:r>
        <w:rPr>
          <w:rFonts w:hint="default" w:ascii="Times New Roman" w:hAnsi="Times New Roman" w:cs="Times New Roman"/>
          <w:color w:val="000000"/>
          <w:szCs w:val="32"/>
          <w:shd w:val="clear" w:color="auto" w:fill="FFFFFF"/>
          <w:lang w:eastAsia="zh-CN"/>
        </w:rPr>
        <w:t>项目建设。</w:t>
      </w:r>
    </w:p>
    <w:p w14:paraId="27400ACD">
      <w:pPr>
        <w:pStyle w:val="7"/>
        <w:pageBreakBefore w:val="0"/>
        <w:numPr>
          <w:ilvl w:val="2"/>
          <w:numId w:val="0"/>
        </w:numPr>
        <w:tabs>
          <w:tab w:val="clear" w:pos="567"/>
        </w:tabs>
        <w:kinsoku/>
        <w:wordWrap/>
        <w:overflowPunct/>
        <w:topLinePunct w:val="0"/>
        <w:autoSpaceDE/>
        <w:autoSpaceDN/>
        <w:bidi w:val="0"/>
        <w:adjustRightInd/>
        <w:snapToGrid/>
        <w:spacing w:beforeLines="0" w:afterLines="0" w:line="520" w:lineRule="exact"/>
        <w:ind w:left="0" w:leftChars="0" w:right="0" w:rightChars="0" w:firstLine="643"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w:t>
      </w:r>
      <w:r>
        <w:rPr>
          <w:rFonts w:hint="default" w:ascii="Times New Roman" w:hAnsi="Times New Roman" w:cs="Times New Roman"/>
          <w:bCs/>
          <w:sz w:val="32"/>
          <w:szCs w:val="32"/>
          <w:lang w:val="en-US" w:eastAsia="zh-CN"/>
        </w:rPr>
        <w:t>．</w:t>
      </w:r>
      <w:r>
        <w:rPr>
          <w:rFonts w:hint="default" w:ascii="Times New Roman" w:hAnsi="Times New Roman" w:cs="Times New Roman"/>
          <w:sz w:val="32"/>
          <w:szCs w:val="32"/>
          <w:lang w:val="en-US" w:eastAsia="zh-CN"/>
        </w:rPr>
        <w:t>付款方式</w:t>
      </w:r>
      <w:r>
        <w:rPr>
          <w:rFonts w:hint="default" w:ascii="Times New Roman" w:hAnsi="Times New Roman" w:cs="Times New Roman"/>
          <w:sz w:val="32"/>
          <w:szCs w:val="32"/>
          <w:lang w:val="en-US" w:eastAsia="zh-CN"/>
        </w:rPr>
        <w:tab/>
      </w:r>
    </w:p>
    <w:p w14:paraId="003B1AB1">
      <w:pPr>
        <w:pageBreakBefore w:val="0"/>
        <w:shd w:val="clear" w:color="auto" w:fill="FFFFFF"/>
        <w:kinsoku/>
        <w:wordWrap/>
        <w:overflowPunct/>
        <w:topLinePunct w:val="0"/>
        <w:autoSpaceDE/>
        <w:autoSpaceDN/>
        <w:bidi w:val="0"/>
        <w:adjustRightInd/>
        <w:spacing w:line="520" w:lineRule="exact"/>
        <w:ind w:left="0" w:leftChars="0" w:right="0" w:rightChars="0" w:firstLine="640" w:firstLineChars="200"/>
        <w:jc w:val="left"/>
        <w:rPr>
          <w:rFonts w:hint="default" w:ascii="Times New Roman" w:hAnsi="Times New Roman" w:eastAsia="仿宋_GB2312" w:cs="Times New Roman"/>
          <w:color w:val="000000"/>
          <w:szCs w:val="32"/>
          <w:shd w:val="clear" w:color="auto" w:fill="FFFFFF"/>
        </w:rPr>
      </w:pPr>
      <w:r>
        <w:rPr>
          <w:rFonts w:hint="default" w:ascii="Times New Roman" w:hAnsi="Times New Roman" w:cs="Times New Roman"/>
          <w:color w:val="000000"/>
          <w:sz w:val="32"/>
          <w:szCs w:val="32"/>
          <w:lang w:val="en-US" w:eastAsia="zh-CN"/>
        </w:rPr>
        <w:t>（1）</w:t>
      </w:r>
      <w:r>
        <w:rPr>
          <w:rFonts w:hint="default" w:ascii="Times New Roman" w:hAnsi="Times New Roman" w:eastAsia="仿宋_GB2312" w:cs="Times New Roman"/>
          <w:color w:val="000000"/>
          <w:sz w:val="32"/>
          <w:szCs w:val="32"/>
        </w:rPr>
        <w:t>合同签订后</w:t>
      </w:r>
      <w:r>
        <w:rPr>
          <w:rFonts w:hint="default" w:ascii="Times New Roman" w:hAnsi="Times New Roman" w:eastAsia="仿宋_GB2312" w:cs="Times New Roman"/>
          <w:sz w:val="32"/>
          <w:szCs w:val="32"/>
        </w:rPr>
        <w:t>且</w:t>
      </w:r>
      <w:r>
        <w:rPr>
          <w:rFonts w:hint="default" w:ascii="Times New Roman" w:hAnsi="Times New Roman" w:cs="Times New Roman"/>
          <w:sz w:val="32"/>
          <w:szCs w:val="32"/>
          <w:lang w:eastAsia="zh-CN"/>
        </w:rPr>
        <w:t>中标人</w:t>
      </w:r>
      <w:r>
        <w:rPr>
          <w:rFonts w:hint="default" w:ascii="Times New Roman" w:hAnsi="Times New Roman" w:eastAsia="仿宋_GB2312" w:cs="Times New Roman"/>
          <w:sz w:val="32"/>
          <w:szCs w:val="32"/>
        </w:rPr>
        <w:t>提供合法有效发票1</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个工作日内</w:t>
      </w:r>
      <w:r>
        <w:rPr>
          <w:rFonts w:hint="default" w:ascii="Times New Roman" w:hAnsi="Times New Roman" w:cs="Times New Roman"/>
          <w:color w:val="000000"/>
          <w:sz w:val="32"/>
          <w:szCs w:val="32"/>
          <w:lang w:eastAsia="zh-CN"/>
        </w:rPr>
        <w:t>，采购人支付</w:t>
      </w:r>
      <w:r>
        <w:rPr>
          <w:rFonts w:hint="default" w:ascii="Times New Roman" w:hAnsi="Times New Roman" w:eastAsia="仿宋_GB2312" w:cs="Times New Roman"/>
          <w:color w:val="000000"/>
          <w:sz w:val="32"/>
          <w:szCs w:val="32"/>
        </w:rPr>
        <w:t>合同款项的</w:t>
      </w:r>
      <w:r>
        <w:rPr>
          <w:rFonts w:hint="default" w:ascii="Times New Roman" w:hAnsi="Times New Roman" w:eastAsia="仿宋_GB2312" w:cs="Times New Roman"/>
          <w:color w:val="000000"/>
          <w:sz w:val="32"/>
          <w:szCs w:val="32"/>
          <w:lang w:val="en-US" w:eastAsia="zh-CN"/>
        </w:rPr>
        <w:t>30</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Cs w:val="32"/>
          <w:shd w:val="clear" w:color="auto" w:fill="FFFFFF"/>
        </w:rPr>
        <w:t>；</w:t>
      </w:r>
    </w:p>
    <w:p w14:paraId="1915C1A0">
      <w:pPr>
        <w:pageBreakBefore w:val="0"/>
        <w:shd w:val="clear" w:color="auto" w:fill="FFFFFF"/>
        <w:kinsoku/>
        <w:wordWrap/>
        <w:overflowPunct/>
        <w:topLinePunct w:val="0"/>
        <w:autoSpaceDE/>
        <w:autoSpaceDN/>
        <w:bidi w:val="0"/>
        <w:adjustRightInd/>
        <w:spacing w:line="520" w:lineRule="exact"/>
        <w:ind w:left="0" w:leftChars="0" w:right="0" w:rightChars="0" w:firstLine="640" w:firstLineChars="200"/>
        <w:jc w:val="left"/>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cs="Times New Roman"/>
          <w:color w:val="000000"/>
          <w:szCs w:val="32"/>
          <w:shd w:val="clear" w:color="auto" w:fill="FFFFFF"/>
          <w:lang w:val="en-US" w:eastAsia="zh-CN"/>
        </w:rPr>
        <w:t>（2）项目</w:t>
      </w:r>
      <w:r>
        <w:rPr>
          <w:rFonts w:hint="default" w:ascii="Times New Roman" w:hAnsi="Times New Roman" w:eastAsia="仿宋_GB2312" w:cs="Times New Roman"/>
          <w:color w:val="000000"/>
          <w:sz w:val="32"/>
          <w:szCs w:val="32"/>
        </w:rPr>
        <w:t>验收合格且</w:t>
      </w:r>
      <w:r>
        <w:rPr>
          <w:rFonts w:hint="default" w:ascii="Times New Roman" w:hAnsi="Times New Roman" w:cs="Times New Roman"/>
          <w:sz w:val="32"/>
          <w:szCs w:val="32"/>
          <w:lang w:eastAsia="zh-CN"/>
        </w:rPr>
        <w:t>中标人</w:t>
      </w:r>
      <w:r>
        <w:rPr>
          <w:rFonts w:hint="default" w:ascii="Times New Roman" w:hAnsi="Times New Roman" w:eastAsia="仿宋_GB2312" w:cs="Times New Roman"/>
          <w:color w:val="000000"/>
          <w:sz w:val="32"/>
          <w:szCs w:val="32"/>
        </w:rPr>
        <w:t>提供合法有效发票15个工作日内</w:t>
      </w:r>
      <w:r>
        <w:rPr>
          <w:rFonts w:hint="default" w:ascii="Times New Roman" w:hAnsi="Times New Roman" w:cs="Times New Roman"/>
          <w:color w:val="000000"/>
          <w:sz w:val="32"/>
          <w:szCs w:val="32"/>
          <w:lang w:eastAsia="zh-CN"/>
        </w:rPr>
        <w:t>，采购人支付</w:t>
      </w:r>
      <w:r>
        <w:rPr>
          <w:rFonts w:hint="default" w:ascii="Times New Roman" w:hAnsi="Times New Roman" w:eastAsia="仿宋_GB2312" w:cs="Times New Roman"/>
          <w:color w:val="000000"/>
          <w:sz w:val="32"/>
          <w:szCs w:val="32"/>
        </w:rPr>
        <w:t>合同款项的</w:t>
      </w:r>
      <w:r>
        <w:rPr>
          <w:rFonts w:hint="default" w:ascii="Times New Roman" w:hAnsi="Times New Roman" w:cs="Times New Roman"/>
          <w:color w:val="000000"/>
          <w:sz w:val="32"/>
          <w:szCs w:val="32"/>
          <w:lang w:val="en-US" w:eastAsia="zh-CN"/>
        </w:rPr>
        <w:t>7</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Cs w:val="32"/>
          <w:shd w:val="clear" w:color="auto" w:fill="FFFFFF"/>
        </w:rPr>
        <w:t>。</w:t>
      </w:r>
    </w:p>
    <w:p w14:paraId="2FB23A53">
      <w:pPr>
        <w:spacing w:line="460" w:lineRule="exact"/>
        <w:jc w:val="left"/>
        <w:rPr>
          <w:rFonts w:hint="default" w:ascii="Times New Roman" w:hAnsi="Times New Roman" w:cs="Times New Roman"/>
        </w:rPr>
      </w:pPr>
    </w:p>
    <w:p w14:paraId="1132BB21">
      <w:pPr>
        <w:rPr>
          <w:rFonts w:hint="default" w:ascii="Times New Roman" w:hAnsi="Times New Roman" w:cs="Times New Roman"/>
        </w:rPr>
      </w:pPr>
    </w:p>
    <w:sectPr>
      <w:headerReference r:id="rId3" w:type="default"/>
      <w:footerReference r:id="rId4" w:type="default"/>
      <w:pgSz w:w="11906" w:h="16838"/>
      <w:pgMar w:top="1701" w:right="1474" w:bottom="1417" w:left="1587" w:header="851" w:footer="992" w:gutter="0"/>
      <w:pgNumType w:fmt="numberInDash" w:start="6"/>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20A5C">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C5160">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1C5160">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sdt>
      <w:sdtPr>
        <w:id w:val="1992054535"/>
      </w:sdtPr>
      <w:sdtContent/>
    </w:sdt>
  </w:p>
  <w:p w14:paraId="0EBFDAE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D9DB1">
    <w:pPr>
      <w:pStyle w:val="12"/>
      <w:pBdr>
        <w:bottom w:val="none" w:color="auto" w:sz="0" w:space="1"/>
      </w:pBdr>
      <w:tabs>
        <w:tab w:val="left" w:pos="5511"/>
      </w:tabs>
      <w:jc w:val="left"/>
      <w:rPr>
        <w:rFonts w:hint="eastAsia" w:eastAsiaTheme="minorEastAsia"/>
        <w:lang w:eastAsia="zh-CN"/>
      </w:rPr>
    </w:pP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CE58BE"/>
    <w:multiLevelType w:val="multilevel"/>
    <w:tmpl w:val="A7CE58BE"/>
    <w:lvl w:ilvl="0" w:tentative="0">
      <w:start w:val="1"/>
      <w:numFmt w:val="decimal"/>
      <w:lvlText w:val="%1"/>
      <w:lvlJc w:val="left"/>
      <w:pPr>
        <w:ind w:left="432" w:hanging="432"/>
      </w:pPr>
    </w:lvl>
    <w:lvl w:ilvl="1" w:tentative="0">
      <w:start w:val="1"/>
      <w:numFmt w:val="decimal"/>
      <w:lvlText w:val="%1.%2"/>
      <w:lvlJc w:val="left"/>
      <w:pPr>
        <w:ind w:left="576" w:hanging="576"/>
      </w:pPr>
    </w:lvl>
    <w:lvl w:ilvl="2" w:tentative="0">
      <w:start w:val="1"/>
      <w:numFmt w:val="decimal"/>
      <w:lvlText w:val="%1.%2.%3"/>
      <w:lvlJc w:val="left"/>
      <w:pPr>
        <w:ind w:left="720" w:hanging="720"/>
      </w:pPr>
    </w:lvl>
    <w:lvl w:ilvl="3" w:tentative="0">
      <w:start w:val="1"/>
      <w:numFmt w:val="decimal"/>
      <w:pStyle w:val="8"/>
      <w:lvlText w:val="10.1.1.%4"/>
      <w:lvlJc w:val="left"/>
      <w:pPr>
        <w:ind w:left="1715" w:hanging="864"/>
      </w:pPr>
      <w:rPr>
        <w:rFonts w:hint="default"/>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1">
    <w:nsid w:val="030B75D7"/>
    <w:multiLevelType w:val="multilevel"/>
    <w:tmpl w:val="030B75D7"/>
    <w:lvl w:ilvl="0" w:tentative="0">
      <w:start w:val="2"/>
      <w:numFmt w:val="decimal"/>
      <w:pStyle w:val="4"/>
      <w:lvlText w:val="%1."/>
      <w:lvlJc w:val="left"/>
      <w:pPr>
        <w:tabs>
          <w:tab w:val="left" w:pos="425"/>
        </w:tabs>
        <w:ind w:left="425" w:hanging="425"/>
      </w:pPr>
      <w:rPr>
        <w:rFonts w:hint="default"/>
      </w:rPr>
    </w:lvl>
    <w:lvl w:ilvl="1" w:tentative="0">
      <w:start w:val="1"/>
      <w:numFmt w:val="decimal"/>
      <w:pStyle w:val="5"/>
      <w:lvlText w:val="%1.%2."/>
      <w:lvlJc w:val="left"/>
      <w:pPr>
        <w:tabs>
          <w:tab w:val="left" w:pos="567"/>
        </w:tabs>
        <w:ind w:left="567" w:hanging="567"/>
      </w:pPr>
    </w:lvl>
    <w:lvl w:ilvl="2" w:tentative="0">
      <w:start w:val="1"/>
      <w:numFmt w:val="decimal"/>
      <w:pStyle w:val="7"/>
      <w:lvlText w:val="%1.%2.%3."/>
      <w:lvlJc w:val="left"/>
      <w:pPr>
        <w:tabs>
          <w:tab w:val="left" w:pos="567"/>
        </w:tabs>
        <w:ind w:left="1134" w:leftChars="0" w:hanging="1134" w:firstLineChars="0"/>
      </w:pPr>
      <w:rPr>
        <w:rFonts w:hint="default"/>
        <w:b/>
        <w:bCs w:val="0"/>
        <w:i w:val="0"/>
        <w:iCs w:val="0"/>
        <w:caps w:val="0"/>
        <w:smallCaps w:val="0"/>
        <w:strike w:val="0"/>
        <w:dstrike w:val="0"/>
        <w:vanish w:val="0"/>
        <w:spacing w:val="0"/>
        <w:position w:val="0"/>
        <w:u w:val="none"/>
        <w:vertAlign w:val="baseline"/>
      </w:rPr>
    </w:lvl>
    <w:lvl w:ilvl="3" w:tentative="0">
      <w:start w:val="1"/>
      <w:numFmt w:val="decimal"/>
      <w:lvlText w:val="%1.%2.%3.%4."/>
      <w:lvlJc w:val="left"/>
      <w:pPr>
        <w:tabs>
          <w:tab w:val="left" w:pos="851"/>
        </w:tabs>
        <w:ind w:left="0" w:leftChars="0" w:firstLine="0" w:firstLineChars="0"/>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6A82BD4C"/>
    <w:multiLevelType w:val="singleLevel"/>
    <w:tmpl w:val="6A82BD4C"/>
    <w:lvl w:ilvl="0" w:tentative="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B2467C"/>
    <w:rsid w:val="02B2467C"/>
    <w:rsid w:val="70AD6EC4"/>
    <w:rsid w:val="FFD6E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4">
    <w:name w:val="heading 1"/>
    <w:basedOn w:val="1"/>
    <w:next w:val="1"/>
    <w:qFormat/>
    <w:uiPriority w:val="0"/>
    <w:pPr>
      <w:keepNext/>
      <w:keepLines/>
      <w:numPr>
        <w:ilvl w:val="0"/>
        <w:numId w:val="1"/>
      </w:numPr>
      <w:spacing w:beforeLines="50" w:afterLines="50"/>
      <w:outlineLvl w:val="0"/>
    </w:pPr>
    <w:rPr>
      <w:rFonts w:hAnsi="宋体"/>
      <w:b/>
      <w:bCs/>
      <w:kern w:val="44"/>
      <w:sz w:val="30"/>
      <w:szCs w:val="30"/>
    </w:rPr>
  </w:style>
  <w:style w:type="paragraph" w:styleId="5">
    <w:name w:val="heading 2"/>
    <w:basedOn w:val="1"/>
    <w:next w:val="6"/>
    <w:unhideWhenUsed/>
    <w:qFormat/>
    <w:uiPriority w:val="0"/>
    <w:pPr>
      <w:keepNext/>
      <w:keepLines/>
      <w:numPr>
        <w:ilvl w:val="1"/>
        <w:numId w:val="1"/>
      </w:numPr>
      <w:tabs>
        <w:tab w:val="left" w:pos="425"/>
      </w:tabs>
      <w:spacing w:beforeLines="50" w:afterLines="50"/>
      <w:outlineLvl w:val="1"/>
    </w:pPr>
    <w:rPr>
      <w:rFonts w:hAnsi="宋体"/>
      <w:b/>
      <w:bCs/>
      <w:sz w:val="28"/>
      <w:szCs w:val="28"/>
    </w:rPr>
  </w:style>
  <w:style w:type="paragraph" w:styleId="7">
    <w:name w:val="heading 3"/>
    <w:basedOn w:val="1"/>
    <w:next w:val="1"/>
    <w:unhideWhenUsed/>
    <w:qFormat/>
    <w:uiPriority w:val="0"/>
    <w:pPr>
      <w:keepNext/>
      <w:keepLines/>
      <w:numPr>
        <w:ilvl w:val="2"/>
        <w:numId w:val="1"/>
      </w:numPr>
      <w:tabs>
        <w:tab w:val="left" w:pos="425"/>
        <w:tab w:val="left" w:pos="2126"/>
      </w:tabs>
      <w:spacing w:beforeLines="50" w:afterLines="50" w:line="360" w:lineRule="auto"/>
      <w:ind w:left="1134" w:hanging="1134"/>
      <w:outlineLvl w:val="2"/>
    </w:pPr>
    <w:rPr>
      <w:rFonts w:hAnsi="宋体"/>
      <w:b/>
      <w:bCs/>
      <w:sz w:val="24"/>
    </w:rPr>
  </w:style>
  <w:style w:type="paragraph" w:styleId="8">
    <w:name w:val="heading 4"/>
    <w:basedOn w:val="1"/>
    <w:next w:val="9"/>
    <w:unhideWhenUsed/>
    <w:qFormat/>
    <w:uiPriority w:val="0"/>
    <w:pPr>
      <w:keepNext/>
      <w:keepLines/>
      <w:numPr>
        <w:ilvl w:val="3"/>
        <w:numId w:val="2"/>
      </w:numPr>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beforeLines="20" w:afterLines="20"/>
      <w:jc w:val="left"/>
    </w:pPr>
    <w:rPr>
      <w:rFonts w:asciiTheme="minorEastAsia" w:hAnsiTheme="minorEastAsia" w:eastAsiaTheme="minorEastAsia"/>
    </w:rPr>
  </w:style>
  <w:style w:type="paragraph" w:customStyle="1" w:styleId="6">
    <w:name w:val="文章正文"/>
    <w:basedOn w:val="1"/>
    <w:qFormat/>
    <w:uiPriority w:val="0"/>
    <w:pPr>
      <w:spacing w:line="360" w:lineRule="auto"/>
      <w:ind w:firstLine="560" w:firstLineChars="200"/>
    </w:pPr>
    <w:rPr>
      <w:rFonts w:eastAsia="仿宋_GB2312"/>
      <w:kern w:val="0"/>
      <w:sz w:val="28"/>
    </w:rPr>
  </w:style>
  <w:style w:type="paragraph" w:customStyle="1" w:styleId="9">
    <w:name w:val="FC正文"/>
    <w:basedOn w:val="1"/>
    <w:qFormat/>
    <w:uiPriority w:val="0"/>
    <w:pPr>
      <w:snapToGrid w:val="0"/>
      <w:spacing w:before="50" w:beforeLines="50" w:after="50" w:afterLines="50" w:line="360" w:lineRule="auto"/>
      <w:ind w:firstLine="200" w:firstLineChars="200"/>
      <w:contextualSpacing/>
    </w:pPr>
    <w:rPr>
      <w:rFonts w:ascii="宋体" w:hAnsi="宋体" w:eastAsia="宋体" w:cs="宋体"/>
      <w:sz w:val="24"/>
    </w:rPr>
  </w:style>
  <w:style w:type="paragraph" w:styleId="10">
    <w:name w:val="Body Text Indent"/>
    <w:basedOn w:val="1"/>
    <w:qFormat/>
    <w:uiPriority w:val="0"/>
    <w:pPr>
      <w:ind w:firstLine="420" w:firstLineChars="200"/>
    </w:pPr>
    <w:rPr>
      <w:rFonts w:ascii="宋体" w:hAnsi="宋体" w:cs="Times New Roman"/>
      <w:color w:val="000000"/>
      <w:szCs w:val="24"/>
    </w:rPr>
  </w:style>
  <w:style w:type="paragraph" w:styleId="11">
    <w:name w:val="footer"/>
    <w:basedOn w:val="1"/>
    <w:next w:val="1"/>
    <w:qFormat/>
    <w:uiPriority w:val="0"/>
    <w:pPr>
      <w:tabs>
        <w:tab w:val="center" w:pos="4153"/>
        <w:tab w:val="right" w:pos="8306"/>
      </w:tabs>
      <w:snapToGrid w:val="0"/>
      <w:jc w:val="left"/>
    </w:pPr>
    <w:rPr>
      <w:rFonts w:ascii="Calibri" w:hAnsi="Calibri" w:eastAsia="宋体" w:cs="Times New Roman"/>
      <w:sz w:val="18"/>
      <w:szCs w:val="18"/>
      <w:lang w:bidi="ar-SA"/>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lang w:bidi="ar-SA"/>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character" w:customStyle="1" w:styleId="18">
    <w:name w:val="font71"/>
    <w:basedOn w:val="16"/>
    <w:qFormat/>
    <w:uiPriority w:val="0"/>
    <w:rPr>
      <w:rFonts w:ascii="方正小标宋简体" w:hAnsi="方正小标宋简体" w:eastAsia="方正小标宋简体" w:cs="方正小标宋简体"/>
      <w:color w:val="000000"/>
      <w:sz w:val="44"/>
      <w:szCs w:val="44"/>
      <w:u w:val="none"/>
    </w:rPr>
  </w:style>
  <w:style w:type="character" w:customStyle="1" w:styleId="19">
    <w:name w:val="font81"/>
    <w:basedOn w:val="16"/>
    <w:qFormat/>
    <w:uiPriority w:val="0"/>
    <w:rPr>
      <w:rFonts w:ascii="仿宋_GB2312" w:eastAsia="仿宋_GB2312" w:cs="仿宋_GB2312"/>
      <w:color w:val="000000"/>
      <w:sz w:val="28"/>
      <w:szCs w:val="28"/>
      <w:u w:val="none"/>
    </w:rPr>
  </w:style>
  <w:style w:type="character" w:customStyle="1" w:styleId="20">
    <w:name w:val="font41"/>
    <w:basedOn w:val="16"/>
    <w:qFormat/>
    <w:uiPriority w:val="0"/>
    <w:rPr>
      <w:rFonts w:hint="default" w:ascii="Times New Roman" w:hAnsi="Times New Roman" w:cs="Times New Roman"/>
      <w:color w:val="000000"/>
      <w:sz w:val="28"/>
      <w:szCs w:val="28"/>
      <w:u w:val="none"/>
    </w:rPr>
  </w:style>
  <w:style w:type="character" w:customStyle="1" w:styleId="21">
    <w:name w:val="font91"/>
    <w:basedOn w:val="16"/>
    <w:qFormat/>
    <w:uiPriority w:val="0"/>
    <w:rPr>
      <w:rFonts w:hint="default" w:ascii="仿宋_GB2312" w:eastAsia="仿宋_GB2312" w:cs="仿宋_GB2312"/>
      <w:color w:val="000000"/>
      <w:sz w:val="28"/>
      <w:szCs w:val="28"/>
      <w:u w:val="none"/>
    </w:rPr>
  </w:style>
  <w:style w:type="character" w:customStyle="1" w:styleId="22">
    <w:name w:val="font51"/>
    <w:basedOn w:val="16"/>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6721</Words>
  <Characters>6767</Characters>
  <Lines>0</Lines>
  <Paragraphs>0</Paragraphs>
  <TotalTime>0</TotalTime>
  <ScaleCrop>false</ScaleCrop>
  <LinksUpToDate>false</LinksUpToDate>
  <CharactersWithSpaces>6889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2026-09-01T15:05:00Z</dcterms:created>
  <dc:creator>Administrator</dc:creator>
  <cp:lastModifiedBy>彩虹</cp:lastModifiedBy>
  <dcterms:modified xsi:type="dcterms:W3CDTF">2026-09-14T09:33:49Z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eyJoZGlkIjoiOWU3MDBhYWMzODM2Y2Y3NTIwNjUxZDkwMTJmNTM5YTAiLCJ1c2VySWQiOiIxMDQ0MjkxMTYxIn0=</vt:lpwstr>
  </property>
  <property fmtid="{D5CDD505-2E9C-101B-9397-08002B2CF9AE}" pid="4" name="ICV">
    <vt:lpwstr>C2076FD5CB334D77A9205EA686436C0B_12</vt:lpwstr>
  </property>
</Properties>
</file>