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一级注册结构工程师报考条件</w:t>
      </w:r>
    </w:p>
    <w:p>
      <w:pPr>
        <w:ind w:firstLine="602" w:firstLineChars="200"/>
        <w:rPr>
          <w:rFonts w:hint="eastAsia" w:hAnsi="仿宋" w:eastAsia="仿宋"/>
          <w:b/>
          <w:bCs/>
          <w:color w:val="000000"/>
          <w:sz w:val="30"/>
          <w:szCs w:val="30"/>
        </w:rPr>
      </w:pPr>
      <w:r>
        <w:rPr>
          <w:rFonts w:hint="eastAsia" w:hAnsi="仿宋" w:eastAsia="仿宋"/>
          <w:b/>
          <w:bCs/>
          <w:color w:val="000000"/>
          <w:sz w:val="30"/>
          <w:szCs w:val="30"/>
          <w:lang w:val="en-US" w:eastAsia="zh-CN"/>
        </w:rPr>
        <w:t>一、</w:t>
      </w:r>
      <w:r>
        <w:rPr>
          <w:rFonts w:hint="eastAsia" w:hAnsi="仿宋" w:eastAsia="仿宋"/>
          <w:b/>
          <w:bCs/>
          <w:color w:val="000000"/>
          <w:sz w:val="30"/>
          <w:szCs w:val="30"/>
        </w:rPr>
        <w:t>一级注册结构工程师执业资格考试基础考试报考条件</w:t>
      </w:r>
    </w:p>
    <w:p>
      <w:pPr>
        <w:pStyle w:val="11"/>
        <w:tabs>
          <w:tab w:val="clear" w:pos="1365"/>
        </w:tabs>
        <w:spacing w:beforeLines="0"/>
        <w:rPr>
          <w:rFonts w:eastAsia="仿宋"/>
          <w:color w:val="000000"/>
          <w:szCs w:val="30"/>
        </w:rPr>
      </w:pPr>
      <w:r>
        <w:rPr>
          <w:rFonts w:hint="eastAsia" w:eastAsia="仿宋"/>
          <w:color w:val="000000"/>
        </w:rPr>
        <w:t xml:space="preserve">   </w:t>
      </w:r>
      <w:r>
        <w:rPr>
          <w:rFonts w:hint="eastAsia" w:hAnsi="仿宋" w:eastAsia="仿宋"/>
          <w:color w:val="000000"/>
          <w:szCs w:val="30"/>
        </w:rPr>
        <w:t>（一）</w:t>
      </w:r>
      <w:r>
        <w:rPr>
          <w:rFonts w:hAnsi="仿宋" w:eastAsia="仿宋"/>
          <w:color w:val="000000"/>
          <w:szCs w:val="30"/>
        </w:rPr>
        <w:t>具备下列条件的人员：</w:t>
      </w:r>
    </w:p>
    <w:tbl>
      <w:tblPr>
        <w:tblStyle w:val="7"/>
        <w:tblW w:w="91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3651"/>
        <w:gridCol w:w="2674"/>
        <w:gridCol w:w="1160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类别</w:t>
            </w:r>
          </w:p>
        </w:tc>
        <w:tc>
          <w:tcPr>
            <w:tcW w:w="3651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b w:val="0"/>
                <w:color w:val="000000"/>
                <w:sz w:val="30"/>
                <w:szCs w:val="30"/>
              </w:rPr>
              <w:t>专业名称</w:t>
            </w: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学历或学位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职业实践最少时间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最迟毕业年限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本</w:t>
            </w: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</w:t>
            </w: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业</w:t>
            </w:r>
          </w:p>
        </w:tc>
        <w:tc>
          <w:tcPr>
            <w:tcW w:w="3651" w:type="dxa"/>
            <w:noWrap w:val="0"/>
            <w:vAlign w:val="center"/>
          </w:tcPr>
          <w:p>
            <w:pPr>
              <w:jc w:val="left"/>
              <w:rPr>
                <w:rFonts w:hAnsi="仿宋"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结构工程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防灾减灾工程及防护工程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桥梁与隧道工程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建筑与土木工程</w:t>
            </w:r>
          </w:p>
        </w:tc>
        <w:tc>
          <w:tcPr>
            <w:tcW w:w="2674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工学硕士</w:t>
            </w: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、工程硕士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或研究生毕业及以上学位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651" w:type="dxa"/>
            <w:vMerge w:val="restart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工业与民用建筑</w:t>
            </w:r>
          </w:p>
          <w:p>
            <w:pPr>
              <w:spacing w:line="360" w:lineRule="exact"/>
              <w:jc w:val="left"/>
              <w:rPr>
                <w:rFonts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建筑工程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土木工程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土木工程（建筑工程方向）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评估通过并在合格有效期内的工学学士学位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65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未通过评估的工学学士学位或本科毕业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65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专科毕业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1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24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相</w:t>
            </w: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近</w:t>
            </w: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</w:t>
            </w: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业</w:t>
            </w:r>
          </w:p>
        </w:tc>
        <w:tc>
          <w:tcPr>
            <w:tcW w:w="3651" w:type="dxa"/>
            <w:vMerge w:val="restart"/>
            <w:noWrap w:val="0"/>
            <w:vAlign w:val="top"/>
          </w:tcPr>
          <w:p>
            <w:pPr>
              <w:pStyle w:val="3"/>
              <w:spacing w:line="440" w:lineRule="exact"/>
              <w:rPr>
                <w:rFonts w:eastAsia="仿宋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土木工程</w:t>
            </w:r>
            <w:r>
              <w:rPr>
                <w:rFonts w:hint="eastAsia" w:hAnsi="仿宋" w:eastAsia="仿宋"/>
                <w:sz w:val="30"/>
                <w:szCs w:val="30"/>
              </w:rPr>
              <w:t>（非建筑工程方向）</w:t>
            </w:r>
          </w:p>
          <w:p>
            <w:pPr>
              <w:pStyle w:val="3"/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交通土建工程</w:t>
            </w:r>
          </w:p>
          <w:p>
            <w:pPr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矿井建设</w:t>
            </w:r>
          </w:p>
          <w:p>
            <w:pPr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水利水电建筑工程</w:t>
            </w:r>
          </w:p>
          <w:p>
            <w:pPr>
              <w:pStyle w:val="3"/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港口航道及治河工程</w:t>
            </w:r>
          </w:p>
          <w:p>
            <w:pPr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海岸与海洋工程</w:t>
            </w:r>
          </w:p>
          <w:p>
            <w:pPr>
              <w:spacing w:line="440" w:lineRule="exact"/>
              <w:rPr>
                <w:rFonts w:hAnsi="仿宋"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农业建筑</w:t>
            </w: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环境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与</w:t>
            </w: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能源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工程</w:t>
            </w:r>
          </w:p>
          <w:p>
            <w:pPr>
              <w:spacing w:line="44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建筑学</w:t>
            </w:r>
          </w:p>
          <w:p>
            <w:pPr>
              <w:rPr>
                <w:rFonts w:hint="eastAsia"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工程力学</w:t>
            </w:r>
          </w:p>
        </w:tc>
        <w:tc>
          <w:tcPr>
            <w:tcW w:w="2674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工学硕士</w:t>
            </w:r>
            <w:r>
              <w:rPr>
                <w:rFonts w:hint="eastAsia" w:hAnsi="仿宋" w:eastAsia="仿宋"/>
                <w:sz w:val="30"/>
                <w:szCs w:val="30"/>
              </w:rPr>
              <w:t>、工程</w:t>
            </w:r>
            <w:r>
              <w:rPr>
                <w:rFonts w:hAnsi="仿宋" w:eastAsia="仿宋"/>
                <w:sz w:val="30"/>
                <w:szCs w:val="30"/>
              </w:rPr>
              <w:t>硕士或研究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生毕业及以上学位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65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工学学士或本科毕业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65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专科毕业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1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24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07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其它工科专业</w:t>
            </w:r>
          </w:p>
        </w:tc>
        <w:tc>
          <w:tcPr>
            <w:tcW w:w="2674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工学学士或本科毕业及以上学位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1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24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</w:tr>
    </w:tbl>
    <w:p>
      <w:pPr>
        <w:rPr>
          <w:rFonts w:eastAsia="仿宋"/>
          <w:color w:val="000000"/>
        </w:rPr>
      </w:pPr>
    </w:p>
    <w:p>
      <w:pPr>
        <w:ind w:firstLine="525"/>
        <w:rPr>
          <w:rFonts w:eastAsia="仿宋"/>
          <w:sz w:val="30"/>
        </w:rPr>
      </w:pPr>
      <w:r>
        <w:rPr>
          <w:rFonts w:hint="eastAsia" w:hAnsi="仿宋" w:eastAsia="仿宋"/>
          <w:sz w:val="30"/>
        </w:rPr>
        <w:t>（</w:t>
      </w:r>
      <w:r>
        <w:rPr>
          <w:rFonts w:hAnsi="仿宋" w:eastAsia="仿宋"/>
          <w:sz w:val="30"/>
        </w:rPr>
        <w:t>二</w:t>
      </w:r>
      <w:r>
        <w:rPr>
          <w:rFonts w:hint="eastAsia" w:hAnsi="仿宋" w:eastAsia="仿宋"/>
          <w:sz w:val="30"/>
        </w:rPr>
        <w:t>）</w:t>
      </w:r>
      <w:r>
        <w:rPr>
          <w:rFonts w:eastAsia="仿宋"/>
          <w:sz w:val="30"/>
        </w:rPr>
        <w:t>1971</w:t>
      </w:r>
      <w:r>
        <w:rPr>
          <w:rFonts w:hAnsi="仿宋" w:eastAsia="仿宋"/>
          <w:sz w:val="30"/>
        </w:rPr>
        <w:t>年（含</w:t>
      </w:r>
      <w:r>
        <w:rPr>
          <w:rFonts w:eastAsia="仿宋"/>
          <w:sz w:val="30"/>
        </w:rPr>
        <w:t>1971</w:t>
      </w:r>
      <w:r>
        <w:rPr>
          <w:rFonts w:hAnsi="仿宋" w:eastAsia="仿宋"/>
          <w:sz w:val="30"/>
        </w:rPr>
        <w:t>年）以后毕业，不具备规定学历的人员，从事建筑工程设计工作累计</w:t>
      </w:r>
      <w:r>
        <w:rPr>
          <w:rFonts w:eastAsia="仿宋"/>
          <w:sz w:val="30"/>
        </w:rPr>
        <w:t>15</w:t>
      </w:r>
      <w:r>
        <w:rPr>
          <w:rFonts w:hAnsi="仿宋" w:eastAsia="仿宋"/>
          <w:sz w:val="30"/>
        </w:rPr>
        <w:t>年以上，且具备下列条件之一：</w:t>
      </w:r>
    </w:p>
    <w:p>
      <w:pPr>
        <w:ind w:firstLine="630"/>
        <w:rPr>
          <w:rFonts w:eastAsia="仿宋"/>
          <w:sz w:val="30"/>
        </w:rPr>
      </w:pPr>
      <w:r>
        <w:rPr>
          <w:rFonts w:eastAsia="仿宋"/>
          <w:sz w:val="30"/>
        </w:rPr>
        <w:t>1</w:t>
      </w:r>
      <w:r>
        <w:rPr>
          <w:rFonts w:hAnsi="仿宋" w:eastAsia="仿宋"/>
          <w:sz w:val="30"/>
        </w:rPr>
        <w:t>、作为专业负责人或主要设计人，完成建筑工程分类标准三级以上项目</w:t>
      </w:r>
      <w:r>
        <w:rPr>
          <w:rFonts w:eastAsia="仿宋"/>
          <w:sz w:val="30"/>
        </w:rPr>
        <w:t>4</w:t>
      </w:r>
      <w:r>
        <w:rPr>
          <w:rFonts w:hAnsi="仿宋" w:eastAsia="仿宋"/>
          <w:sz w:val="30"/>
        </w:rPr>
        <w:t>项（全过程设计），其中二级以上项目不少于</w:t>
      </w:r>
      <w:r>
        <w:rPr>
          <w:rFonts w:eastAsia="仿宋"/>
          <w:sz w:val="30"/>
        </w:rPr>
        <w:t>1</w:t>
      </w:r>
      <w:r>
        <w:rPr>
          <w:rFonts w:hAnsi="仿宋" w:eastAsia="仿宋"/>
          <w:sz w:val="30"/>
        </w:rPr>
        <w:t>项。</w:t>
      </w:r>
    </w:p>
    <w:p>
      <w:pPr>
        <w:ind w:firstLine="630"/>
        <w:rPr>
          <w:rFonts w:hAnsi="仿宋" w:eastAsia="仿宋"/>
          <w:b/>
          <w:sz w:val="30"/>
        </w:rPr>
      </w:pPr>
      <w:r>
        <w:rPr>
          <w:rFonts w:eastAsia="仿宋"/>
          <w:sz w:val="30"/>
        </w:rPr>
        <w:t>2</w:t>
      </w:r>
      <w:r>
        <w:rPr>
          <w:rFonts w:hAnsi="仿宋" w:eastAsia="仿宋"/>
          <w:sz w:val="30"/>
        </w:rPr>
        <w:t>、作为专业负责人或主要设计人，完成中型工业建筑工程以上项目</w:t>
      </w:r>
      <w:r>
        <w:rPr>
          <w:rFonts w:eastAsia="仿宋"/>
          <w:sz w:val="30"/>
        </w:rPr>
        <w:t>4</w:t>
      </w:r>
      <w:r>
        <w:rPr>
          <w:rFonts w:hAnsi="仿宋" w:eastAsia="仿宋"/>
          <w:sz w:val="30"/>
        </w:rPr>
        <w:t>项（全过程设计），其中大型项目不少于</w:t>
      </w:r>
      <w:r>
        <w:rPr>
          <w:rFonts w:eastAsia="仿宋"/>
          <w:sz w:val="30"/>
        </w:rPr>
        <w:t>1</w:t>
      </w:r>
      <w:r>
        <w:rPr>
          <w:rFonts w:hAnsi="仿宋" w:eastAsia="仿宋"/>
          <w:sz w:val="30"/>
        </w:rPr>
        <w:t>项。</w:t>
      </w:r>
    </w:p>
    <w:p>
      <w:pPr>
        <w:ind w:firstLine="630"/>
        <w:rPr>
          <w:rFonts w:hAnsi="仿宋" w:eastAsia="仿宋"/>
          <w:b/>
          <w:color w:val="000000"/>
          <w:sz w:val="30"/>
        </w:rPr>
      </w:pPr>
      <w:r>
        <w:rPr>
          <w:rFonts w:hAnsi="仿宋" w:eastAsia="仿宋"/>
          <w:b/>
          <w:sz w:val="30"/>
        </w:rPr>
        <w:br w:type="page"/>
      </w:r>
      <w:r>
        <w:rPr>
          <w:rFonts w:hint="eastAsia" w:hAnsi="仿宋" w:eastAsia="仿宋"/>
          <w:b/>
          <w:color w:val="000000"/>
          <w:sz w:val="30"/>
          <w:lang w:val="en-US" w:eastAsia="zh-CN"/>
        </w:rPr>
        <w:t>二</w:t>
      </w:r>
      <w:r>
        <w:rPr>
          <w:rFonts w:hint="eastAsia" w:hAnsi="仿宋" w:eastAsia="仿宋"/>
          <w:b/>
          <w:color w:val="000000"/>
          <w:sz w:val="30"/>
        </w:rPr>
        <w:t>、</w:t>
      </w:r>
      <w:r>
        <w:rPr>
          <w:rFonts w:hAnsi="仿宋" w:eastAsia="仿宋"/>
          <w:b/>
          <w:color w:val="000000"/>
          <w:sz w:val="30"/>
        </w:rPr>
        <w:t>一级注册结构工程师执业资格考试专业考试报考条件</w:t>
      </w:r>
    </w:p>
    <w:p>
      <w:pPr>
        <w:pStyle w:val="11"/>
        <w:tabs>
          <w:tab w:val="clear" w:pos="1365"/>
        </w:tabs>
        <w:spacing w:beforeLines="0"/>
        <w:ind w:firstLine="600" w:firstLineChars="200"/>
        <w:rPr>
          <w:rFonts w:hAnsi="仿宋" w:eastAsia="仿宋"/>
          <w:szCs w:val="30"/>
        </w:rPr>
      </w:pPr>
      <w:r>
        <w:rPr>
          <w:rFonts w:hint="eastAsia" w:hAnsi="仿宋" w:eastAsia="仿宋"/>
          <w:szCs w:val="30"/>
        </w:rPr>
        <w:t>参加考试</w:t>
      </w:r>
      <w:r>
        <w:rPr>
          <w:rFonts w:hAnsi="仿宋" w:eastAsia="仿宋"/>
          <w:szCs w:val="30"/>
        </w:rPr>
        <w:t>的人员须具备下列条件：</w:t>
      </w:r>
    </w:p>
    <w:tbl>
      <w:tblPr>
        <w:tblStyle w:val="7"/>
        <w:tblW w:w="1012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033"/>
        <w:gridCol w:w="1842"/>
        <w:gridCol w:w="1134"/>
        <w:gridCol w:w="1276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类别</w:t>
            </w:r>
          </w:p>
        </w:tc>
        <w:tc>
          <w:tcPr>
            <w:tcW w:w="3033" w:type="dxa"/>
            <w:vMerge w:val="restart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专业名称</w:t>
            </w:r>
          </w:p>
        </w:tc>
        <w:tc>
          <w:tcPr>
            <w:tcW w:w="1842" w:type="dxa"/>
            <w:vMerge w:val="restart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学历或学位</w:t>
            </w:r>
          </w:p>
        </w:tc>
        <w:tc>
          <w:tcPr>
            <w:tcW w:w="241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Ansi="仿宋" w:eastAsia="仿宋"/>
                <w:sz w:val="30"/>
                <w:szCs w:val="30"/>
              </w:rPr>
              <w:t>Ⅰ类人员</w:t>
            </w:r>
          </w:p>
        </w:tc>
        <w:tc>
          <w:tcPr>
            <w:tcW w:w="241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Ansi="仿宋" w:eastAsia="仿宋"/>
                <w:sz w:val="30"/>
                <w:szCs w:val="30"/>
              </w:rPr>
              <w:t>Ⅱ类人员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continue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vMerge w:val="continue"/>
            <w:noWrap w:val="0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职业实践最少时间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最迟毕业年限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职业实践最少时间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2"/>
              <w:spacing w:line="480" w:lineRule="exact"/>
              <w:jc w:val="center"/>
              <w:rPr>
                <w:rFonts w:hAnsi="仿宋" w:eastAsia="仿宋"/>
                <w:b w:val="0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b w:val="0"/>
                <w:color w:val="000000"/>
                <w:sz w:val="30"/>
                <w:szCs w:val="30"/>
              </w:rPr>
              <w:t>最迟毕业年限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本</w:t>
            </w: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</w:t>
            </w: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业</w:t>
            </w: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结构工程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防灾减灾工程及防护工程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桥梁与隧道工程</w:t>
            </w:r>
          </w:p>
          <w:p>
            <w:pPr>
              <w:pStyle w:val="11"/>
              <w:tabs>
                <w:tab w:val="clear" w:pos="1365"/>
              </w:tabs>
              <w:spacing w:beforeLines="0" w:line="360" w:lineRule="exact"/>
              <w:jc w:val="left"/>
              <w:rPr>
                <w:rFonts w:eastAsia="仿宋"/>
                <w:color w:val="000000"/>
                <w:szCs w:val="30"/>
              </w:rPr>
            </w:pPr>
            <w:r>
              <w:rPr>
                <w:rFonts w:hint="eastAsia" w:hAnsi="仿宋" w:eastAsia="仿宋"/>
                <w:color w:val="000000"/>
                <w:szCs w:val="30"/>
              </w:rPr>
              <w:t>建筑与土木工程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pStyle w:val="11"/>
              <w:tabs>
                <w:tab w:val="clear" w:pos="1365"/>
              </w:tabs>
              <w:spacing w:beforeLines="0" w:line="320" w:lineRule="exact"/>
              <w:rPr>
                <w:rFonts w:eastAsia="仿宋"/>
                <w:color w:val="000000"/>
                <w:szCs w:val="30"/>
              </w:rPr>
            </w:pPr>
            <w:r>
              <w:rPr>
                <w:rFonts w:hAnsi="仿宋" w:eastAsia="仿宋"/>
                <w:color w:val="000000"/>
                <w:szCs w:val="30"/>
              </w:rPr>
              <w:t>工学硕士</w:t>
            </w:r>
            <w:r>
              <w:rPr>
                <w:rFonts w:hint="eastAsia" w:hAnsi="仿宋" w:eastAsia="仿宋"/>
                <w:color w:val="000000"/>
                <w:szCs w:val="30"/>
              </w:rPr>
              <w:t>、</w:t>
            </w:r>
            <w:r>
              <w:rPr>
                <w:rFonts w:hAnsi="仿宋" w:eastAsia="仿宋"/>
                <w:color w:val="000000"/>
                <w:szCs w:val="30"/>
              </w:rPr>
              <w:t>工程硕士或研究生毕业及以上学位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4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21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6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1991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restart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工业与民用建筑</w:t>
            </w:r>
          </w:p>
          <w:p>
            <w:pPr>
              <w:spacing w:line="360" w:lineRule="exact"/>
              <w:jc w:val="left"/>
              <w:rPr>
                <w:rFonts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建筑工程</w:t>
            </w:r>
          </w:p>
          <w:p>
            <w:pPr>
              <w:spacing w:line="360" w:lineRule="exact"/>
              <w:jc w:val="left"/>
              <w:rPr>
                <w:rFonts w:hint="eastAsia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土木工程</w:t>
            </w:r>
          </w:p>
          <w:p>
            <w:pPr>
              <w:spacing w:line="360" w:lineRule="exact"/>
              <w:jc w:val="lef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土木工程（建筑工程方向）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评估通过并在合格有效期内的工学学士学位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4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21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Ansi="仿宋" w:eastAsia="仿宋"/>
                <w:sz w:val="30"/>
                <w:szCs w:val="30"/>
              </w:rPr>
              <w:t>Ⅱ类人员中</w:t>
            </w:r>
          </w:p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hAnsi="仿宋" w:eastAsia="仿宋"/>
                <w:sz w:val="30"/>
                <w:szCs w:val="30"/>
              </w:rPr>
              <w:t>无此类人员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未通过评估的工学学士学位或本科毕业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20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8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1989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pStyle w:val="11"/>
              <w:tabs>
                <w:tab w:val="clear" w:pos="1365"/>
              </w:tabs>
              <w:spacing w:beforeLines="0" w:line="320" w:lineRule="exact"/>
              <w:jc w:val="center"/>
              <w:rPr>
                <w:rFonts w:eastAsia="仿宋"/>
                <w:color w:val="000000"/>
                <w:szCs w:val="30"/>
              </w:rPr>
            </w:pPr>
            <w:r>
              <w:rPr>
                <w:rFonts w:hAnsi="仿宋" w:eastAsia="仿宋"/>
                <w:color w:val="000000"/>
                <w:szCs w:val="30"/>
              </w:rPr>
              <w:t>专科毕业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6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19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9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1988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相</w:t>
            </w: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近</w:t>
            </w: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</w:t>
            </w: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业</w:t>
            </w:r>
          </w:p>
        </w:tc>
        <w:tc>
          <w:tcPr>
            <w:tcW w:w="3033" w:type="dxa"/>
            <w:vMerge w:val="restart"/>
            <w:noWrap w:val="0"/>
            <w:vAlign w:val="top"/>
          </w:tcPr>
          <w:p>
            <w:pPr>
              <w:pStyle w:val="11"/>
              <w:tabs>
                <w:tab w:val="clear" w:pos="1365"/>
              </w:tabs>
              <w:spacing w:beforeLines="0" w:line="400" w:lineRule="exact"/>
              <w:rPr>
                <w:rFonts w:eastAsia="仿宋"/>
                <w:color w:val="000000"/>
                <w:spacing w:val="-18"/>
                <w:szCs w:val="30"/>
              </w:rPr>
            </w:pPr>
            <w:r>
              <w:rPr>
                <w:rFonts w:hint="eastAsia" w:hAnsi="仿宋" w:eastAsia="仿宋"/>
                <w:color w:val="000000"/>
                <w:spacing w:val="-18"/>
                <w:szCs w:val="30"/>
              </w:rPr>
              <w:t>土木工程（非</w:t>
            </w:r>
            <w:r>
              <w:rPr>
                <w:rFonts w:hint="eastAsia" w:hAnsi="仿宋" w:eastAsia="仿宋"/>
                <w:color w:val="000000"/>
                <w:szCs w:val="30"/>
              </w:rPr>
              <w:t>建筑工程方向</w:t>
            </w:r>
            <w:r>
              <w:rPr>
                <w:rFonts w:hint="eastAsia" w:hAnsi="仿宋" w:eastAsia="仿宋"/>
                <w:color w:val="000000"/>
                <w:spacing w:val="-18"/>
                <w:szCs w:val="30"/>
              </w:rPr>
              <w:t>）</w:t>
            </w:r>
          </w:p>
          <w:p>
            <w:pPr>
              <w:pStyle w:val="11"/>
              <w:tabs>
                <w:tab w:val="clear" w:pos="1365"/>
              </w:tabs>
              <w:spacing w:beforeLines="0" w:line="400" w:lineRule="exact"/>
              <w:rPr>
                <w:rFonts w:eastAsia="仿宋"/>
                <w:color w:val="000000"/>
                <w:szCs w:val="30"/>
              </w:rPr>
            </w:pPr>
            <w:r>
              <w:rPr>
                <w:rFonts w:hAnsi="仿宋" w:eastAsia="仿宋"/>
                <w:color w:val="000000"/>
                <w:szCs w:val="30"/>
              </w:rPr>
              <w:t>交通土建工程</w:t>
            </w:r>
          </w:p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矿井建设</w:t>
            </w:r>
          </w:p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水利水电建筑工程</w:t>
            </w:r>
          </w:p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港口航道及治河工程</w:t>
            </w:r>
          </w:p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海岸与海洋工程</w:t>
            </w:r>
          </w:p>
          <w:p>
            <w:pPr>
              <w:spacing w:line="400" w:lineRule="exact"/>
              <w:rPr>
                <w:rFonts w:hAnsi="仿宋" w:eastAsia="仿宋"/>
                <w:color w:val="000000"/>
                <w:spacing w:val="-23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pacing w:val="-23"/>
                <w:sz w:val="30"/>
                <w:szCs w:val="30"/>
              </w:rPr>
              <w:t>农业建筑</w:t>
            </w:r>
            <w:r>
              <w:rPr>
                <w:rFonts w:hint="eastAsia" w:hAnsi="仿宋" w:eastAsia="仿宋"/>
                <w:color w:val="000000"/>
                <w:spacing w:val="-23"/>
                <w:sz w:val="30"/>
                <w:szCs w:val="30"/>
              </w:rPr>
              <w:t>环境</w:t>
            </w:r>
            <w:r>
              <w:rPr>
                <w:rFonts w:hAnsi="仿宋" w:eastAsia="仿宋"/>
                <w:color w:val="000000"/>
                <w:spacing w:val="-23"/>
                <w:sz w:val="30"/>
                <w:szCs w:val="30"/>
              </w:rPr>
              <w:t>与</w:t>
            </w:r>
            <w:r>
              <w:rPr>
                <w:rFonts w:hint="eastAsia" w:hAnsi="仿宋" w:eastAsia="仿宋"/>
                <w:color w:val="000000"/>
                <w:spacing w:val="-23"/>
                <w:sz w:val="30"/>
                <w:szCs w:val="30"/>
              </w:rPr>
              <w:t>能源</w:t>
            </w:r>
            <w:r>
              <w:rPr>
                <w:rFonts w:hAnsi="仿宋" w:eastAsia="仿宋"/>
                <w:color w:val="000000"/>
                <w:spacing w:val="-23"/>
                <w:sz w:val="30"/>
                <w:szCs w:val="30"/>
              </w:rPr>
              <w:t>工程</w:t>
            </w:r>
          </w:p>
          <w:p>
            <w:pPr>
              <w:pStyle w:val="11"/>
              <w:tabs>
                <w:tab w:val="clear" w:pos="1365"/>
              </w:tabs>
              <w:spacing w:beforeLines="0" w:line="400" w:lineRule="exact"/>
              <w:rPr>
                <w:rFonts w:eastAsia="仿宋"/>
                <w:color w:val="000000"/>
                <w:szCs w:val="30"/>
              </w:rPr>
            </w:pPr>
            <w:r>
              <w:rPr>
                <w:rFonts w:hAnsi="仿宋" w:eastAsia="仿宋"/>
                <w:color w:val="000000"/>
                <w:szCs w:val="30"/>
              </w:rPr>
              <w:t>建筑学</w:t>
            </w:r>
          </w:p>
          <w:p>
            <w:pPr>
              <w:pStyle w:val="11"/>
              <w:tabs>
                <w:tab w:val="clear" w:pos="1365"/>
              </w:tabs>
              <w:spacing w:beforeLines="0" w:line="400" w:lineRule="exact"/>
              <w:rPr>
                <w:rFonts w:eastAsia="仿宋"/>
                <w:color w:val="000000"/>
                <w:szCs w:val="30"/>
              </w:rPr>
            </w:pPr>
            <w:r>
              <w:rPr>
                <w:rFonts w:hAnsi="仿宋" w:eastAsia="仿宋"/>
                <w:color w:val="000000"/>
                <w:szCs w:val="30"/>
              </w:rPr>
              <w:t>工程力学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工学硕士</w:t>
            </w:r>
            <w:r>
              <w:rPr>
                <w:rFonts w:hint="eastAsia" w:hAnsi="仿宋" w:eastAsia="仿宋"/>
                <w:color w:val="000000"/>
                <w:sz w:val="30"/>
                <w:szCs w:val="30"/>
              </w:rPr>
              <w:t>、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工程硕士或研究生毕业及以上学位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5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20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8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1989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工学学士或本科毕业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6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19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9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1988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3033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eastAsia="仿宋"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专科毕业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7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201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8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10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1987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45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其它工科专业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spacing w:line="360" w:lineRule="exact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hAnsi="仿宋" w:eastAsia="仿宋"/>
                <w:color w:val="000000"/>
                <w:sz w:val="30"/>
                <w:szCs w:val="30"/>
              </w:rPr>
              <w:t>工学学士或本科毕业及以上学位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8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000000"/>
                <w:sz w:val="30"/>
                <w:szCs w:val="30"/>
              </w:rPr>
            </w:pPr>
            <w:r>
              <w:rPr>
                <w:rFonts w:eastAsia="仿宋"/>
                <w:color w:val="000000"/>
                <w:sz w:val="30"/>
                <w:szCs w:val="30"/>
              </w:rPr>
              <w:t>201</w:t>
            </w:r>
            <w:r>
              <w:rPr>
                <w:rFonts w:hint="eastAsia" w:eastAsia="仿宋"/>
                <w:color w:val="000000"/>
                <w:sz w:val="30"/>
                <w:szCs w:val="30"/>
              </w:rPr>
              <w:t>7</w:t>
            </w:r>
            <w:r>
              <w:rPr>
                <w:rFonts w:hAnsi="仿宋" w:eastAsia="仿宋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12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1985</w:t>
            </w:r>
            <w:r>
              <w:rPr>
                <w:rFonts w:hAnsi="仿宋" w:eastAsia="仿宋"/>
                <w:sz w:val="30"/>
                <w:szCs w:val="30"/>
              </w:rPr>
              <w:t>年</w:t>
            </w:r>
          </w:p>
        </w:tc>
      </w:tr>
    </w:tbl>
    <w:p>
      <w:pPr>
        <w:pStyle w:val="11"/>
        <w:tabs>
          <w:tab w:val="clear" w:pos="1365"/>
        </w:tabs>
        <w:spacing w:beforeLines="0" w:line="400" w:lineRule="exact"/>
        <w:rPr>
          <w:rFonts w:eastAsia="仿宋"/>
        </w:rPr>
      </w:pPr>
      <w:r>
        <w:rPr>
          <w:rFonts w:hAnsi="仿宋" w:eastAsia="仿宋"/>
        </w:rPr>
        <w:t>注：表中</w:t>
      </w:r>
      <w:r>
        <w:rPr>
          <w:rFonts w:eastAsia="仿宋"/>
        </w:rPr>
        <w:t>“</w:t>
      </w:r>
      <w:r>
        <w:rPr>
          <w:rFonts w:hAnsi="仿宋" w:eastAsia="仿宋"/>
        </w:rPr>
        <w:t>Ⅰ类人员</w:t>
      </w:r>
      <w:r>
        <w:rPr>
          <w:rFonts w:eastAsia="仿宋"/>
        </w:rPr>
        <w:t>”</w:t>
      </w:r>
      <w:r>
        <w:rPr>
          <w:rFonts w:hAnsi="仿宋" w:eastAsia="仿宋"/>
        </w:rPr>
        <w:t>指基础考试已经通过，继续报考专业考试的人员；</w:t>
      </w:r>
      <w:r>
        <w:rPr>
          <w:rFonts w:eastAsia="仿宋"/>
        </w:rPr>
        <w:t>“</w:t>
      </w:r>
      <w:r>
        <w:rPr>
          <w:rFonts w:hAnsi="仿宋" w:eastAsia="仿宋"/>
        </w:rPr>
        <w:t>Ⅱ类人员</w:t>
      </w:r>
      <w:r>
        <w:rPr>
          <w:rFonts w:eastAsia="仿宋"/>
        </w:rPr>
        <w:t>”</w:t>
      </w:r>
      <w:r>
        <w:rPr>
          <w:rFonts w:hAnsi="仿宋" w:eastAsia="仿宋"/>
        </w:rPr>
        <w:t>指符合免基础考试条件只参加专业考试的人员，该类人员可一直报考专业考试，直至通过为止。</w:t>
      </w:r>
    </w:p>
    <w:p>
      <w:pPr>
        <w:rPr>
          <w:rFonts w:hint="eastAsia" w:eastAsia="仿宋"/>
          <w:color w:val="000000"/>
          <w:sz w:val="30"/>
        </w:rPr>
        <w:sectPr>
          <w:headerReference r:id="rId3" w:type="default"/>
          <w:footerReference r:id="rId4" w:type="default"/>
          <w:pgSz w:w="11907" w:h="16840"/>
          <w:pgMar w:top="1134" w:right="1418" w:bottom="1134" w:left="1418" w:header="851" w:footer="794" w:gutter="0"/>
          <w:cols w:space="720" w:num="1"/>
          <w:docGrid w:type="lines" w:linePitch="312" w:charSpace="0"/>
        </w:sectPr>
      </w:pPr>
    </w:p>
    <w:tbl>
      <w:tblPr>
        <w:tblStyle w:val="7"/>
        <w:tblW w:w="934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2588"/>
        <w:gridCol w:w="1364"/>
        <w:gridCol w:w="2648"/>
        <w:gridCol w:w="1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土木工程类专业评估通过学校和有效期情况统计表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lang w:val="en-US" w:eastAsia="zh-CN" w:bidi="ar"/>
              </w:rPr>
              <w:t>（截至2025年5月，按首次通过评估时间排序）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9"/>
                <w:lang w:val="en-US" w:eastAsia="zh-CN" w:bidi="ar"/>
              </w:rPr>
              <w:t>学</w:t>
            </w:r>
            <w:bookmarkStart w:id="0" w:name="_GoBack"/>
            <w:bookmarkEnd w:id="0"/>
            <w:r>
              <w:rPr>
                <w:rStyle w:val="19"/>
                <w:lang w:val="en-US" w:eastAsia="zh-CN" w:bidi="ar"/>
              </w:rPr>
              <w:t>校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本科合格有效期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首次通过评估</w:t>
            </w: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清华大学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天津大学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东南大学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同济大学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浙江大学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华南理工大学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重庆大学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哈尔滨工业大学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湖南大学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西安建筑科技大学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沈阳建筑大学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郑州大学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合肥工业大学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武汉理工大学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2022.5-2028.12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（有条件）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（2020年5月至2022年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华中科技大学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（2002年6月至2003年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西南交通大学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中南大学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2020.5-2026.12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（2002年6月至2004年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华侨大学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2023.5-2029.12</w:t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br w:type="textWrapping"/>
            </w:r>
            <w:r>
              <w:rPr>
                <w:rStyle w:val="20"/>
                <w:rFonts w:hint="default" w:ascii="Times New Roman" w:hAnsi="Times New Roman" w:eastAsia="仿宋_GB2312" w:cs="Times New Roman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（2004年6月至2006年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石家庄铁道大学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（2006年6月至2007年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2001.6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2002.6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（2008年5月至2009年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2003.6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（2021年6月至2022年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2005.6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（2016年6月至2017年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有效期截至2022.5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有效期截至2020.5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安徽建筑大学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陆军工程大学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天津城建大学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河北建筑工程学院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2024.1-2029.12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（2020年6月至2023年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2021.5-2027.12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有效期截至2022.5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2022.5-2028.12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2011.5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燕山大学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有效期截至2017.5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浙江科技学院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2012.5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南京林业大学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2013.5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汕头大学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（2017年6月至2018年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中南林业科技大学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2017.5-2023.5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2023.5-2029.12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2014.5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南京航空航天大学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宁波工程学院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华东交通大学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（2018年6月至2019年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厦门理工学院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2016.5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（2020年7月至2021年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12月不在有效期内）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2020.5-2026.12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2017.5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上海应用技术大学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2018.5-2024.12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河南城建学院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辽宁工程技术大学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2019.5-2025.12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2019.5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东北电力大学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湘潭大学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2021.1-2026.12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淮阴工学院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南华大学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山东理工大学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南昌航空大学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中国地质大学(北京)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道路桥梁与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渡河工程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2022.1-2027.12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南京工业大学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2023.1-2028.12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 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中国矿业大学（北京）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2025.1-2030.12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（有条件）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2025.1 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4515D1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3198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6E5A90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EE03C9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AC16C4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685A3A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E9733D"/>
    <w:rsid w:val="4BFA505E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B26F37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144E8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  <w:szCs w:val="20"/>
    </w:rPr>
  </w:style>
  <w:style w:type="paragraph" w:styleId="3">
    <w:name w:val="Date"/>
    <w:basedOn w:val="1"/>
    <w:next w:val="1"/>
    <w:qFormat/>
    <w:uiPriority w:val="0"/>
    <w:rPr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customStyle="1" w:styleId="9">
    <w:name w:val="font01"/>
    <w:basedOn w:val="8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61"/>
    <w:basedOn w:val="8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11">
    <w:name w:val="收件单位"/>
    <w:basedOn w:val="1"/>
    <w:uiPriority w:val="0"/>
    <w:pPr>
      <w:tabs>
        <w:tab w:val="left" w:pos="1365"/>
      </w:tabs>
      <w:spacing w:beforeLines="100"/>
    </w:pPr>
    <w:rPr>
      <w:rFonts w:eastAsia="华文仿宋"/>
      <w:sz w:val="30"/>
      <w:szCs w:val="20"/>
    </w:rPr>
  </w:style>
  <w:style w:type="character" w:customStyle="1" w:styleId="12">
    <w:name w:val="font71"/>
    <w:basedOn w:val="8"/>
    <w:uiPriority w:val="0"/>
    <w:rPr>
      <w:rFonts w:ascii="黑体" w:hAnsi="宋体" w:eastAsia="黑体" w:cs="黑体"/>
      <w:color w:val="000000"/>
      <w:sz w:val="22"/>
      <w:szCs w:val="22"/>
      <w:u w:val="none"/>
    </w:rPr>
  </w:style>
  <w:style w:type="character" w:customStyle="1" w:styleId="13">
    <w:name w:val="font81"/>
    <w:basedOn w:val="8"/>
    <w:qFormat/>
    <w:uiPriority w:val="0"/>
    <w:rPr>
      <w:rFonts w:ascii="方正小标宋简体" w:hAnsi="方正小标宋简体" w:eastAsia="方正小标宋简体" w:cs="方正小标宋简体"/>
      <w:color w:val="000000"/>
      <w:sz w:val="30"/>
      <w:szCs w:val="30"/>
      <w:u w:val="none"/>
    </w:rPr>
  </w:style>
  <w:style w:type="character" w:customStyle="1" w:styleId="14">
    <w:name w:val="font31"/>
    <w:basedOn w:val="8"/>
    <w:qFormat/>
    <w:uiPriority w:val="0"/>
    <w:rPr>
      <w:rFonts w:ascii="楷体" w:hAnsi="楷体" w:eastAsia="楷体" w:cs="楷体"/>
      <w:color w:val="000000"/>
      <w:sz w:val="22"/>
      <w:szCs w:val="22"/>
      <w:u w:val="none"/>
    </w:rPr>
  </w:style>
  <w:style w:type="character" w:customStyle="1" w:styleId="15">
    <w:name w:val="font41"/>
    <w:basedOn w:val="8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21"/>
    <w:basedOn w:val="8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17">
    <w:name w:val="font13"/>
    <w:basedOn w:val="8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8">
    <w:name w:val="font132"/>
    <w:basedOn w:val="8"/>
    <w:qFormat/>
    <w:uiPriority w:val="0"/>
    <w:rPr>
      <w:rFonts w:ascii="仿宋" w:hAnsi="仿宋" w:eastAsia="仿宋" w:cs="仿宋"/>
      <w:b/>
      <w:color w:val="000000"/>
      <w:sz w:val="28"/>
      <w:szCs w:val="28"/>
      <w:u w:val="none"/>
    </w:rPr>
  </w:style>
  <w:style w:type="character" w:customStyle="1" w:styleId="19">
    <w:name w:val="font121"/>
    <w:basedOn w:val="8"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20">
    <w:name w:val="font11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Administrator</cp:lastModifiedBy>
  <cp:lastPrinted>2021-08-09T09:31:00Z</cp:lastPrinted>
  <dcterms:modified xsi:type="dcterms:W3CDTF">2025-08-04T01:46:56Z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