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83EC3">
      <w:pPr>
        <w:spacing w:line="600" w:lineRule="exact"/>
        <w:rPr>
          <w:rFonts w:ascii="仿宋_GB2312" w:hAnsi="仿宋"/>
          <w:sz w:val="29"/>
        </w:rPr>
      </w:pPr>
    </w:p>
    <w:p w14:paraId="7574AF74">
      <w:pPr>
        <w:spacing w:line="600" w:lineRule="exact"/>
        <w:rPr>
          <w:rFonts w:ascii="仿宋_GB2312" w:hAnsi="仿宋"/>
          <w:sz w:val="29"/>
        </w:rPr>
      </w:pPr>
    </w:p>
    <w:p w14:paraId="3E288F20">
      <w:pPr>
        <w:spacing w:line="600" w:lineRule="exact"/>
        <w:jc w:val="center"/>
      </w:pPr>
      <w:r>
        <w:rPr>
          <w:rFonts w:ascii="仿宋_GB2312" w:hAnsi="仿宋"/>
          <w:b/>
          <w:sz w:val="44"/>
          <w:szCs w:val="44"/>
        </w:rPr>
        <w:t>福建省城镇燃气基础设施</w:t>
      </w:r>
    </w:p>
    <w:p w14:paraId="7825171D">
      <w:pPr>
        <w:spacing w:line="600" w:lineRule="exact"/>
        <w:jc w:val="center"/>
      </w:pPr>
      <w:r>
        <w:rPr>
          <w:rFonts w:ascii="仿宋_GB2312" w:hAnsi="仿宋"/>
          <w:b/>
          <w:sz w:val="44"/>
          <w:szCs w:val="44"/>
        </w:rPr>
        <w:t>建设与发展“十二五”规划</w:t>
      </w:r>
    </w:p>
    <w:p w14:paraId="661BABC3">
      <w:pPr>
        <w:spacing w:line="600" w:lineRule="exact"/>
        <w:jc w:val="center"/>
        <w:rPr>
          <w:rFonts w:ascii="仿宋_GB2312" w:hAnsi="仿宋"/>
          <w:b/>
          <w:sz w:val="44"/>
          <w:szCs w:val="44"/>
        </w:rPr>
      </w:pPr>
    </w:p>
    <w:p w14:paraId="08635D8C">
      <w:pPr>
        <w:spacing w:line="600" w:lineRule="exact"/>
        <w:jc w:val="center"/>
        <w:rPr>
          <w:rFonts w:ascii="仿宋_GB2312" w:hAnsi="仿宋"/>
          <w:sz w:val="44"/>
        </w:rPr>
      </w:pPr>
    </w:p>
    <w:p w14:paraId="27F8455D">
      <w:pPr>
        <w:spacing w:line="600" w:lineRule="exact"/>
        <w:jc w:val="center"/>
        <w:rPr>
          <w:rFonts w:ascii="仿宋_GB2312" w:hAnsi="仿宋"/>
          <w:sz w:val="44"/>
        </w:rPr>
      </w:pPr>
    </w:p>
    <w:p w14:paraId="45CCC71E">
      <w:pPr>
        <w:spacing w:line="600" w:lineRule="exact"/>
        <w:jc w:val="center"/>
        <w:rPr>
          <w:rFonts w:ascii="仿宋_GB2312" w:hAnsi="仿宋"/>
          <w:sz w:val="44"/>
        </w:rPr>
      </w:pPr>
    </w:p>
    <w:p w14:paraId="1F40BBA3">
      <w:pPr>
        <w:spacing w:line="600" w:lineRule="exact"/>
        <w:rPr>
          <w:rFonts w:ascii="仿宋_GB2312" w:hAnsi="仿宋"/>
          <w:sz w:val="29"/>
        </w:rPr>
      </w:pPr>
    </w:p>
    <w:p w14:paraId="3F3820EB">
      <w:pPr>
        <w:spacing w:line="600" w:lineRule="exact"/>
        <w:rPr>
          <w:rFonts w:ascii="仿宋_GB2312" w:hAnsi="仿宋"/>
          <w:sz w:val="29"/>
        </w:rPr>
      </w:pPr>
    </w:p>
    <w:p w14:paraId="5C906159">
      <w:pPr>
        <w:spacing w:line="600" w:lineRule="exact"/>
        <w:rPr>
          <w:rFonts w:ascii="仿宋_GB2312" w:hAnsi="仿宋"/>
          <w:sz w:val="29"/>
        </w:rPr>
      </w:pPr>
    </w:p>
    <w:p w14:paraId="7996F33E">
      <w:pPr>
        <w:spacing w:line="600" w:lineRule="exact"/>
        <w:rPr>
          <w:rFonts w:ascii="仿宋_GB2312" w:hAnsi="仿宋"/>
          <w:sz w:val="29"/>
        </w:rPr>
      </w:pPr>
    </w:p>
    <w:p w14:paraId="4AF3932D">
      <w:pPr>
        <w:spacing w:line="600" w:lineRule="exact"/>
        <w:rPr>
          <w:rFonts w:ascii="仿宋_GB2312" w:hAnsi="仿宋"/>
          <w:sz w:val="29"/>
        </w:rPr>
      </w:pPr>
    </w:p>
    <w:p w14:paraId="54891A3E">
      <w:pPr>
        <w:spacing w:line="600" w:lineRule="exact"/>
        <w:rPr>
          <w:rFonts w:ascii="仿宋_GB2312" w:hAnsi="仿宋"/>
          <w:sz w:val="29"/>
        </w:rPr>
      </w:pPr>
    </w:p>
    <w:p w14:paraId="37C60E5E">
      <w:pPr>
        <w:spacing w:line="600" w:lineRule="exact"/>
        <w:rPr>
          <w:rFonts w:ascii="仿宋_GB2312" w:hAnsi="仿宋"/>
          <w:sz w:val="29"/>
        </w:rPr>
      </w:pPr>
    </w:p>
    <w:p w14:paraId="19711D1C">
      <w:pPr>
        <w:spacing w:line="600" w:lineRule="exact"/>
        <w:rPr>
          <w:rFonts w:ascii="仿宋_GB2312" w:hAnsi="仿宋"/>
          <w:sz w:val="29"/>
        </w:rPr>
      </w:pPr>
    </w:p>
    <w:p w14:paraId="7EB7EC25">
      <w:pPr>
        <w:spacing w:line="600" w:lineRule="exact"/>
        <w:rPr>
          <w:rFonts w:ascii="仿宋_GB2312" w:hAnsi="仿宋"/>
          <w:sz w:val="29"/>
        </w:rPr>
      </w:pPr>
    </w:p>
    <w:p w14:paraId="56F848D5">
      <w:pPr>
        <w:spacing w:line="600" w:lineRule="exact"/>
        <w:rPr>
          <w:rFonts w:ascii="仿宋_GB2312" w:hAnsi="仿宋"/>
          <w:sz w:val="29"/>
        </w:rPr>
      </w:pPr>
    </w:p>
    <w:p w14:paraId="764878CA">
      <w:pPr>
        <w:spacing w:line="500" w:lineRule="exact"/>
        <w:jc w:val="center"/>
      </w:pPr>
      <w:r>
        <w:rPr>
          <w:rFonts w:ascii="仿宋_GB2312" w:hAnsi="仿宋"/>
          <w:sz w:val="32"/>
        </w:rPr>
        <w:t>福建省住房和城乡建设厅</w:t>
      </w:r>
    </w:p>
    <w:p w14:paraId="7A624CEC">
      <w:pPr>
        <w:spacing w:line="500" w:lineRule="exact"/>
        <w:jc w:val="center"/>
        <w:sectPr>
          <w:headerReference r:id="rId5" w:type="first"/>
          <w:footerReference r:id="rId8" w:type="first"/>
          <w:headerReference r:id="rId3" w:type="default"/>
          <w:footerReference r:id="rId6" w:type="default"/>
          <w:headerReference r:id="rId4" w:type="even"/>
          <w:footerReference r:id="rId7" w:type="even"/>
          <w:pgSz w:w="11906" w:h="16838"/>
          <w:pgMar w:top="1588" w:right="1418" w:bottom="1418" w:left="1588" w:header="720" w:footer="720" w:gutter="0"/>
          <w:cols w:space="720" w:num="1"/>
          <w:titlePg/>
        </w:sectPr>
      </w:pPr>
      <w:r>
        <w:rPr>
          <w:rFonts w:ascii="仿宋_GB2312" w:hAnsi="仿宋"/>
          <w:sz w:val="32"/>
        </w:rPr>
        <w:t>二O一一年六月</w:t>
      </w:r>
    </w:p>
    <w:p w14:paraId="20C86C90">
      <w:pPr>
        <w:spacing w:line="600" w:lineRule="exact"/>
        <w:jc w:val="center"/>
      </w:pPr>
      <w:r>
        <w:rPr>
          <w:rFonts w:ascii="仿宋_GB2312" w:hAnsi="仿宋"/>
          <w:sz w:val="36"/>
        </w:rPr>
        <w:t>目  录</w:t>
      </w:r>
    </w:p>
    <w:p w14:paraId="540D9009">
      <w:pPr>
        <w:spacing w:line="600" w:lineRule="exact"/>
        <w:rPr>
          <w:rFonts w:ascii="仿宋_GB2312" w:hAnsi="仿宋"/>
          <w:sz w:val="36"/>
        </w:rPr>
      </w:pPr>
    </w:p>
    <w:p w14:paraId="1233B695">
      <w:pPr>
        <w:pStyle w:val="11"/>
        <w:rPr>
          <w:rFonts w:ascii="仿宋_GB2312" w:hAnsi="仿宋"/>
          <w:sz w:val="29"/>
        </w:rPr>
      </w:pPr>
      <w:r>
        <w:rPr>
          <w:rFonts w:ascii="仿宋_GB2312" w:hAnsi="仿宋"/>
          <w:sz w:val="29"/>
        </w:rPr>
        <w:t>前   言</w:t>
      </w:r>
      <w:r>
        <w:rPr>
          <w:rFonts w:ascii="仿宋_GB2312" w:hAnsi="仿宋"/>
          <w:sz w:val="29"/>
        </w:rPr>
        <w:tab/>
      </w:r>
      <w:r>
        <w:rPr>
          <w:rFonts w:ascii="仿宋_GB2312" w:hAnsi="仿宋"/>
          <w:sz w:val="29"/>
        </w:rPr>
        <w:t>11</w:t>
      </w:r>
    </w:p>
    <w:p w14:paraId="77769FA3">
      <w:pPr>
        <w:pStyle w:val="11"/>
        <w:rPr>
          <w:rFonts w:ascii="仿宋_GB2312" w:hAnsi="仿宋"/>
          <w:sz w:val="29"/>
        </w:rPr>
      </w:pPr>
      <w:r>
        <w:rPr>
          <w:rFonts w:ascii="仿宋_GB2312" w:hAnsi="仿宋"/>
          <w:sz w:val="29"/>
        </w:rPr>
        <w:t>第一章  总  则</w:t>
      </w:r>
      <w:r>
        <w:rPr>
          <w:rFonts w:ascii="仿宋_GB2312" w:hAnsi="仿宋"/>
          <w:sz w:val="29"/>
        </w:rPr>
        <w:tab/>
      </w:r>
      <w:r>
        <w:rPr>
          <w:rFonts w:ascii="仿宋_GB2312" w:hAnsi="仿宋"/>
          <w:sz w:val="29"/>
        </w:rPr>
        <w:t>22</w:t>
      </w:r>
    </w:p>
    <w:p w14:paraId="6712E33C">
      <w:pPr>
        <w:pStyle w:val="11"/>
        <w:rPr>
          <w:rFonts w:ascii="仿宋_GB2312" w:hAnsi="仿宋"/>
          <w:sz w:val="29"/>
        </w:rPr>
      </w:pPr>
      <w:r>
        <w:rPr>
          <w:rFonts w:ascii="仿宋_GB2312" w:hAnsi="仿宋"/>
          <w:sz w:val="29"/>
        </w:rPr>
        <w:t>第二章  现状及问题</w:t>
      </w:r>
      <w:r>
        <w:rPr>
          <w:rFonts w:ascii="仿宋_GB2312" w:hAnsi="仿宋"/>
          <w:sz w:val="29"/>
        </w:rPr>
        <w:tab/>
      </w:r>
      <w:r>
        <w:rPr>
          <w:rFonts w:ascii="仿宋_GB2312" w:hAnsi="仿宋"/>
          <w:sz w:val="29"/>
        </w:rPr>
        <w:t>99</w:t>
      </w:r>
    </w:p>
    <w:p w14:paraId="2557840F">
      <w:pPr>
        <w:pStyle w:val="11"/>
        <w:rPr>
          <w:rFonts w:ascii="仿宋_GB2312" w:hAnsi="仿宋"/>
          <w:sz w:val="29"/>
        </w:rPr>
      </w:pPr>
      <w:r>
        <w:rPr>
          <w:rFonts w:ascii="仿宋_GB2312" w:hAnsi="仿宋"/>
          <w:sz w:val="29"/>
        </w:rPr>
        <w:t>第三章  气源</w:t>
      </w:r>
      <w:r>
        <w:rPr>
          <w:rFonts w:ascii="仿宋_GB2312" w:hAnsi="仿宋"/>
          <w:sz w:val="29"/>
        </w:rPr>
        <w:tab/>
      </w:r>
      <w:r>
        <w:rPr>
          <w:rFonts w:ascii="仿宋_GB2312" w:hAnsi="仿宋"/>
          <w:sz w:val="29"/>
        </w:rPr>
        <w:t>2020</w:t>
      </w:r>
    </w:p>
    <w:p w14:paraId="2344CD58">
      <w:pPr>
        <w:pStyle w:val="11"/>
        <w:rPr>
          <w:rFonts w:ascii="仿宋_GB2312" w:hAnsi="仿宋"/>
          <w:sz w:val="29"/>
        </w:rPr>
      </w:pPr>
      <w:r>
        <w:rPr>
          <w:rFonts w:ascii="仿宋_GB2312" w:hAnsi="仿宋"/>
          <w:sz w:val="29"/>
        </w:rPr>
        <w:t>第四章</w:t>
      </w:r>
      <w:r>
        <w:rPr>
          <w:rFonts w:ascii="仿宋_GB2312" w:hAnsi="仿宋"/>
          <w:sz w:val="29"/>
        </w:rPr>
        <w:tab/>
      </w:r>
      <w:r>
        <w:rPr>
          <w:rFonts w:ascii="仿宋_GB2312" w:hAnsi="仿宋"/>
          <w:sz w:val="29"/>
        </w:rPr>
        <w:t>规划目标和重点任务</w:t>
      </w:r>
      <w:r>
        <w:rPr>
          <w:rFonts w:ascii="仿宋_GB2312" w:hAnsi="仿宋"/>
          <w:sz w:val="29"/>
        </w:rPr>
        <w:tab/>
      </w:r>
      <w:r>
        <w:rPr>
          <w:rFonts w:ascii="仿宋_GB2312" w:hAnsi="仿宋"/>
          <w:sz w:val="29"/>
        </w:rPr>
        <w:t>2626</w:t>
      </w:r>
    </w:p>
    <w:p w14:paraId="3C295584">
      <w:pPr>
        <w:pStyle w:val="11"/>
        <w:rPr>
          <w:rFonts w:ascii="仿宋_GB2312" w:hAnsi="仿宋"/>
          <w:sz w:val="29"/>
        </w:rPr>
      </w:pPr>
      <w:r>
        <w:rPr>
          <w:rFonts w:ascii="仿宋_GB2312" w:hAnsi="仿宋"/>
          <w:sz w:val="29"/>
        </w:rPr>
        <w:t>第五章  需求预测</w:t>
      </w:r>
      <w:r>
        <w:rPr>
          <w:rFonts w:ascii="仿宋_GB2312" w:hAnsi="仿宋"/>
          <w:sz w:val="29"/>
        </w:rPr>
        <w:tab/>
      </w:r>
      <w:r>
        <w:rPr>
          <w:rFonts w:ascii="仿宋_GB2312" w:hAnsi="仿宋"/>
          <w:sz w:val="29"/>
        </w:rPr>
        <w:t>2828</w:t>
      </w:r>
    </w:p>
    <w:p w14:paraId="6D4AC2E9">
      <w:pPr>
        <w:pStyle w:val="11"/>
        <w:rPr>
          <w:rFonts w:ascii="仿宋_GB2312" w:hAnsi="仿宋"/>
          <w:sz w:val="29"/>
        </w:rPr>
      </w:pPr>
      <w:r>
        <w:rPr>
          <w:rFonts w:ascii="仿宋_GB2312" w:hAnsi="仿宋"/>
          <w:sz w:val="29"/>
        </w:rPr>
        <w:t>第六章  城镇燃气利用技术路线</w:t>
      </w:r>
      <w:r>
        <w:rPr>
          <w:rFonts w:ascii="仿宋_GB2312" w:hAnsi="仿宋"/>
          <w:sz w:val="29"/>
        </w:rPr>
        <w:tab/>
      </w:r>
      <w:r>
        <w:rPr>
          <w:rFonts w:ascii="仿宋_GB2312" w:hAnsi="仿宋"/>
          <w:sz w:val="29"/>
        </w:rPr>
        <w:t>3737</w:t>
      </w:r>
    </w:p>
    <w:p w14:paraId="09776C7D">
      <w:pPr>
        <w:pStyle w:val="11"/>
        <w:rPr>
          <w:rFonts w:ascii="仿宋_GB2312" w:hAnsi="仿宋"/>
          <w:sz w:val="29"/>
        </w:rPr>
      </w:pPr>
      <w:r>
        <w:rPr>
          <w:rFonts w:ascii="仿宋_GB2312" w:hAnsi="仿宋"/>
          <w:sz w:val="29"/>
        </w:rPr>
        <w:t>第七章  基础设施建设内容</w:t>
      </w:r>
      <w:r>
        <w:rPr>
          <w:rFonts w:ascii="仿宋_GB2312" w:hAnsi="仿宋"/>
          <w:sz w:val="29"/>
        </w:rPr>
        <w:tab/>
      </w:r>
      <w:r>
        <w:rPr>
          <w:rFonts w:ascii="仿宋_GB2312" w:hAnsi="仿宋"/>
          <w:sz w:val="29"/>
        </w:rPr>
        <w:t>4343</w:t>
      </w:r>
    </w:p>
    <w:p w14:paraId="5CB9821D">
      <w:pPr>
        <w:pStyle w:val="11"/>
        <w:rPr>
          <w:rFonts w:ascii="仿宋_GB2312" w:hAnsi="仿宋"/>
          <w:sz w:val="29"/>
        </w:rPr>
      </w:pPr>
      <w:r>
        <w:rPr>
          <w:rFonts w:ascii="仿宋_GB2312" w:hAnsi="仿宋"/>
          <w:sz w:val="29"/>
        </w:rPr>
        <w:t>第八章</w:t>
      </w:r>
      <w:r>
        <w:rPr>
          <w:rFonts w:ascii="仿宋_GB2312" w:hAnsi="仿宋"/>
          <w:sz w:val="29"/>
        </w:rPr>
        <w:tab/>
      </w:r>
      <w:r>
        <w:rPr>
          <w:rFonts w:ascii="仿宋_GB2312" w:hAnsi="仿宋"/>
          <w:sz w:val="29"/>
        </w:rPr>
        <w:t>投资估算与资金筹措</w:t>
      </w:r>
      <w:r>
        <w:rPr>
          <w:rFonts w:ascii="仿宋_GB2312" w:hAnsi="仿宋"/>
          <w:sz w:val="29"/>
        </w:rPr>
        <w:tab/>
      </w:r>
      <w:r>
        <w:rPr>
          <w:rFonts w:ascii="仿宋_GB2312" w:hAnsi="仿宋"/>
          <w:sz w:val="29"/>
        </w:rPr>
        <w:t>4444</w:t>
      </w:r>
    </w:p>
    <w:p w14:paraId="79881E31">
      <w:pPr>
        <w:pStyle w:val="11"/>
        <w:rPr>
          <w:rFonts w:ascii="仿宋_GB2312" w:hAnsi="仿宋"/>
          <w:sz w:val="29"/>
        </w:rPr>
      </w:pPr>
      <w:r>
        <w:rPr>
          <w:rFonts w:ascii="仿宋_GB2312" w:hAnsi="仿宋"/>
          <w:sz w:val="29"/>
        </w:rPr>
        <w:t>第九章  实施计划</w:t>
      </w:r>
      <w:r>
        <w:rPr>
          <w:rFonts w:ascii="仿宋_GB2312" w:hAnsi="仿宋"/>
          <w:sz w:val="29"/>
        </w:rPr>
        <w:tab/>
      </w:r>
      <w:r>
        <w:rPr>
          <w:rFonts w:ascii="仿宋_GB2312" w:hAnsi="仿宋"/>
          <w:sz w:val="29"/>
        </w:rPr>
        <w:t>4646</w:t>
      </w:r>
    </w:p>
    <w:p w14:paraId="61F18442">
      <w:pPr>
        <w:pStyle w:val="11"/>
        <w:rPr>
          <w:rFonts w:ascii="仿宋_GB2312" w:hAnsi="仿宋"/>
          <w:sz w:val="29"/>
        </w:rPr>
      </w:pPr>
      <w:r>
        <w:rPr>
          <w:rFonts w:ascii="仿宋_GB2312" w:hAnsi="仿宋"/>
          <w:sz w:val="29"/>
        </w:rPr>
        <w:t>第十章  环境保护</w:t>
      </w:r>
      <w:r>
        <w:rPr>
          <w:rFonts w:ascii="仿宋_GB2312" w:hAnsi="仿宋"/>
          <w:sz w:val="29"/>
        </w:rPr>
        <w:tab/>
      </w:r>
      <w:r>
        <w:rPr>
          <w:rFonts w:ascii="仿宋_GB2312" w:hAnsi="仿宋"/>
          <w:sz w:val="29"/>
        </w:rPr>
        <w:t>4747</w:t>
      </w:r>
    </w:p>
    <w:p w14:paraId="453165DE">
      <w:pPr>
        <w:pStyle w:val="11"/>
        <w:rPr>
          <w:rFonts w:ascii="仿宋_GB2312" w:hAnsi="仿宋"/>
          <w:sz w:val="29"/>
        </w:rPr>
      </w:pPr>
      <w:r>
        <w:rPr>
          <w:rFonts w:ascii="仿宋_GB2312" w:hAnsi="仿宋"/>
          <w:sz w:val="29"/>
        </w:rPr>
        <w:t>第十一章  保障措施</w:t>
      </w:r>
      <w:r>
        <w:rPr>
          <w:rFonts w:ascii="仿宋_GB2312" w:hAnsi="仿宋"/>
          <w:sz w:val="29"/>
        </w:rPr>
        <w:tab/>
      </w:r>
      <w:r>
        <w:rPr>
          <w:rFonts w:ascii="仿宋_GB2312" w:hAnsi="仿宋"/>
          <w:sz w:val="29"/>
        </w:rPr>
        <w:t>5252</w:t>
      </w:r>
    </w:p>
    <w:p w14:paraId="463D22D7">
      <w:pPr>
        <w:spacing w:line="500" w:lineRule="exact"/>
        <w:jc w:val="center"/>
        <w:sectPr>
          <w:pgSz w:w="11906" w:h="16838"/>
          <w:pgMar w:top="1588" w:right="1418" w:bottom="1418" w:left="1588" w:header="720" w:footer="720" w:gutter="0"/>
          <w:cols w:space="720" w:num="1"/>
          <w:titlePg/>
        </w:sectPr>
      </w:pPr>
    </w:p>
    <w:p w14:paraId="6C280F1D">
      <w:pPr>
        <w:pStyle w:val="11"/>
        <w:spacing w:before="0" w:after="0" w:line="600" w:lineRule="exact"/>
        <w:jc w:val="center"/>
      </w:pPr>
      <w:r>
        <w:rPr>
          <w:rFonts w:ascii="仿宋_GB2312" w:hAnsi="仿宋"/>
          <w:b/>
          <w:sz w:val="36"/>
          <w:szCs w:val="36"/>
        </w:rPr>
        <w:t>前   言</w:t>
      </w:r>
    </w:p>
    <w:p w14:paraId="2E4A31A6">
      <w:pPr>
        <w:spacing w:line="600" w:lineRule="exact"/>
        <w:ind w:firstLine="548"/>
        <w:rPr>
          <w:rFonts w:ascii="仿宋_GB2312" w:hAnsi="仿宋"/>
          <w:sz w:val="29"/>
        </w:rPr>
      </w:pPr>
    </w:p>
    <w:p w14:paraId="41AAD5E1">
      <w:pPr>
        <w:spacing w:line="600" w:lineRule="exact"/>
        <w:ind w:firstLine="548"/>
      </w:pPr>
      <w:r>
        <w:rPr>
          <w:rFonts w:ascii="仿宋_GB2312" w:hAnsi="仿宋"/>
          <w:sz w:val="29"/>
        </w:rPr>
        <w:t>根据住房和城乡建设部《关于开展中小城市基础设施完善“十二五”规划编制工作的通知》（建办规函［2010］235号）精神，按照福建省住房和城乡建设厅《关于做好住房和城乡建设事业“十二五”规划编制工作的通知》（闽建计［2010］6号），为加快建设安全、稳定、高效和可持续发展的福建省能源保障体系，促进福建省能源结构的进一步优化。适应经济社会发展的需要，推进全省城乡统筹发展，提高城乡居民的生活质量，推进节能减排，改善环境质量，建设资源节约型和环境友好型社会，实现福建省的跨越式发展。福建省住房和城乡建设厅、中国市政工程中南设计研究总院组织有关部门，对现有燃气市场进行了详细调研，分析总结《福建省天然气市场分析报告》、《福建省天然气管网规划》、《海峡西岸经济区天然气管网建设规划》、《福建省天然气汽车加气发展规划（2010～2020年）》等的基础上，在认真规划燃气市场远期目标的前提下，重点着眼于“十二五”期间亟须解决的问题，共同完成了《福建省城镇燃气基础设施建设与发展“十二五”规划》。</w:t>
      </w:r>
    </w:p>
    <w:p w14:paraId="46CBE177">
      <w:pPr>
        <w:spacing w:line="600" w:lineRule="exact"/>
        <w:ind w:firstLine="548"/>
        <w:sectPr>
          <w:pgSz w:w="11906" w:h="16838"/>
          <w:pgMar w:top="1588" w:right="1418" w:bottom="1418" w:left="1588" w:header="720" w:footer="720" w:gutter="0"/>
          <w:cols w:space="720" w:num="1"/>
        </w:sectPr>
      </w:pPr>
    </w:p>
    <w:p w14:paraId="7FB01E8F">
      <w:pPr>
        <w:pStyle w:val="11"/>
        <w:spacing w:before="0" w:after="0" w:line="600" w:lineRule="exact"/>
        <w:jc w:val="center"/>
      </w:pPr>
      <w:r>
        <w:rPr>
          <w:rFonts w:ascii="仿宋_GB2312" w:hAnsi="仿宋"/>
          <w:b/>
          <w:sz w:val="36"/>
          <w:szCs w:val="36"/>
        </w:rPr>
        <w:t>第一章  总  则</w:t>
      </w:r>
    </w:p>
    <w:p w14:paraId="483A4547">
      <w:pPr>
        <w:spacing w:line="600" w:lineRule="exact"/>
        <w:ind w:firstLine="548"/>
      </w:pPr>
      <w:r>
        <w:rPr>
          <w:rFonts w:ascii="仿宋_GB2312" w:hAnsi="仿宋"/>
          <w:sz w:val="29"/>
        </w:rPr>
        <w:t>本规划系根据住房和城乡建设部《关于开展中小城市基础设施完善“十二五”规划编制工作的通知》（建办规函［2010］235号）和福建省住房和城乡建设厅《关于做好住房和城乡建设事业“十二五”规划编制工作的通知》（闽建计［2010］6号）文件要求进行编制。在工作过程中参阅了《福建省“十二五”规划总体思路》，《福建省城镇体系规划》，各市、县城市总体规划，分析总结了《福建省天然气市场分析报告》、《福建省天然气管网规划》、《海峡西岸经济区天然气管网建设规划》；《福建省天然气汽车加气发展规划（2010～2020年）》等现有规划设计成果，回收了发放给各市、县燃气设施现状调查统计报表，依据国家有关技术规范、标准和定额等，编制形成了本规划成果。</w:t>
      </w:r>
    </w:p>
    <w:p w14:paraId="37A2CE0F">
      <w:pPr>
        <w:spacing w:line="600" w:lineRule="exact"/>
        <w:ind w:firstLine="548"/>
      </w:pPr>
      <w:r>
        <w:rPr>
          <w:rFonts w:ascii="仿宋_GB2312" w:hAnsi="仿宋"/>
          <w:sz w:val="29"/>
        </w:rPr>
        <w:t>本规划通过对福建省的能源消耗现状、发展战略的分析，选择符合能源战略需求的燃气气源。从保障地区经济发展和促进社会可持续发展的角度出发对福建省“十二五”期间燃气市场需求进行预测，结合福建省燃气设施现状、“十一五”燃气规划执行情况、确定“十二五”期间全省城镇燃气设施、汽车加气站等燃气利用设施的建设目标和重点任务，安排燃气设施在全省的空间布局和建设时序，估算完成建设方案的投资需求，分析运营费用，提出资金筹措建议，并提出实施计划和保障措施。以加快建设安全、稳定、高效和可持续发展的福建省能源保障体系，促进福建省能源结构的进一步优化，推进节能减排，改善环境质量，建设资源节约型和环境友好型社会，实现福建省的可持续发展。</w:t>
      </w:r>
    </w:p>
    <w:p w14:paraId="78221860">
      <w:pPr>
        <w:spacing w:line="600" w:lineRule="exact"/>
        <w:ind w:firstLine="548"/>
      </w:pPr>
      <w:r>
        <w:rPr>
          <w:rFonts w:ascii="仿宋_GB2312" w:hAnsi="仿宋"/>
          <w:sz w:val="29"/>
        </w:rPr>
        <w:t>本规划对福建省城镇燃气基础设施“十二五”期间的建设和发展提出了总体构想和具体安排，不仅可以指导全省“十二五”城镇燃气基础设施的建设，同时也为加快城镇燃气基础设施投融资体制改革和管理体制改革提供了理论依据。</w:t>
      </w:r>
    </w:p>
    <w:p w14:paraId="5607D02B">
      <w:pPr>
        <w:spacing w:line="600" w:lineRule="exact"/>
        <w:ind w:firstLine="274"/>
        <w:rPr>
          <w:rFonts w:ascii="仿宋_GB2312" w:hAnsi="仿宋"/>
          <w:sz w:val="29"/>
        </w:rPr>
      </w:pPr>
    </w:p>
    <w:p w14:paraId="66AC58CA">
      <w:pPr>
        <w:spacing w:line="600" w:lineRule="exact"/>
        <w:ind w:firstLine="548"/>
      </w:pPr>
      <w:r>
        <w:rPr>
          <w:rFonts w:ascii="仿宋_GB2312" w:hAnsi="仿宋"/>
          <w:sz w:val="29"/>
        </w:rPr>
        <w:t>（一）规划依据</w:t>
      </w:r>
    </w:p>
    <w:p w14:paraId="027E6618">
      <w:pPr>
        <w:spacing w:line="600" w:lineRule="exact"/>
        <w:ind w:firstLine="548"/>
      </w:pPr>
      <w:r>
        <w:rPr>
          <w:rFonts w:ascii="仿宋_GB2312" w:hAnsi="仿宋"/>
          <w:sz w:val="29"/>
        </w:rPr>
        <w:t>1、国家法律</w:t>
      </w:r>
    </w:p>
    <w:p w14:paraId="29C74DAF">
      <w:pPr>
        <w:spacing w:line="600" w:lineRule="exact"/>
        <w:ind w:firstLine="548"/>
      </w:pPr>
      <w:r>
        <w:rPr>
          <w:rFonts w:ascii="仿宋_GB2312" w:hAnsi="仿宋"/>
          <w:sz w:val="29"/>
        </w:rPr>
        <w:t>（1）《中华人民共和国劳动法</w:t>
      </w:r>
      <w:r>
        <w:rPr>
          <w:rFonts w:ascii="仿宋_GB2312" w:hAnsi="仿宋"/>
          <w:szCs w:val="28"/>
        </w:rPr>
        <w:t>》</w:t>
      </w:r>
      <w:r>
        <w:rPr>
          <w:rFonts w:ascii="仿宋_GB2312" w:hAnsi="仿宋"/>
          <w:szCs w:val="28"/>
        </w:rPr>
        <w:tab/>
      </w:r>
      <w:r>
        <w:rPr>
          <w:rFonts w:ascii="仿宋_GB2312" w:hAnsi="仿宋"/>
          <w:szCs w:val="28"/>
        </w:rPr>
        <w:tab/>
      </w:r>
      <w:r>
        <w:rPr>
          <w:rFonts w:ascii="仿宋_GB2312" w:hAnsi="仿宋"/>
          <w:szCs w:val="28"/>
        </w:rPr>
        <w:tab/>
      </w:r>
      <w:r>
        <w:rPr>
          <w:rFonts w:ascii="仿宋_GB2312" w:hAnsi="仿宋"/>
          <w:szCs w:val="28"/>
        </w:rPr>
        <w:tab/>
      </w:r>
      <w:r>
        <w:rPr>
          <w:rFonts w:ascii="仿宋_GB2312" w:hAnsi="仿宋"/>
          <w:szCs w:val="28"/>
        </w:rPr>
        <w:tab/>
      </w:r>
      <w:r>
        <w:rPr>
          <w:rFonts w:ascii="仿宋_GB2312" w:hAnsi="仿宋"/>
          <w:sz w:val="29"/>
        </w:rPr>
        <w:tab/>
      </w:r>
      <w:r>
        <w:rPr>
          <w:rFonts w:ascii="仿宋_GB2312" w:hAnsi="仿宋"/>
          <w:sz w:val="29"/>
        </w:rPr>
        <w:t>1995.1.1起施行</w:t>
      </w:r>
    </w:p>
    <w:p w14:paraId="7F055B10">
      <w:pPr>
        <w:spacing w:line="600" w:lineRule="exact"/>
        <w:ind w:firstLine="548"/>
      </w:pPr>
      <w:r>
        <w:rPr>
          <w:rFonts w:ascii="仿宋_GB2312" w:hAnsi="仿宋"/>
          <w:sz w:val="29"/>
        </w:rPr>
        <w:t>（2）《中华人民共和国环境保护法》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主席令第22号（1989年）</w:t>
      </w:r>
    </w:p>
    <w:p w14:paraId="4004FF83">
      <w:pPr>
        <w:spacing w:line="600" w:lineRule="exact"/>
        <w:ind w:firstLine="548"/>
      </w:pPr>
      <w:r>
        <w:rPr>
          <w:rFonts w:ascii="仿宋_GB2312" w:hAnsi="仿宋"/>
          <w:sz w:val="29"/>
        </w:rPr>
        <w:t>（3）《中华人民共和国安全生产法》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2002.11.1起施行</w:t>
      </w:r>
    </w:p>
    <w:p w14:paraId="1C4BB752">
      <w:pPr>
        <w:spacing w:line="600" w:lineRule="exact"/>
        <w:ind w:firstLine="548"/>
      </w:pPr>
      <w:r>
        <w:rPr>
          <w:rFonts w:ascii="仿宋_GB2312" w:hAnsi="仿宋"/>
          <w:sz w:val="29"/>
        </w:rPr>
        <w:t>（4）《中华人民共和国消防法》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2009.5.1起施行</w:t>
      </w:r>
    </w:p>
    <w:p w14:paraId="3147B0B8">
      <w:pPr>
        <w:spacing w:line="600" w:lineRule="exact"/>
        <w:ind w:firstLine="548"/>
      </w:pPr>
      <w:r>
        <w:rPr>
          <w:rFonts w:ascii="仿宋_GB2312" w:hAnsi="仿宋"/>
          <w:sz w:val="29"/>
        </w:rPr>
        <w:t>（5）《中华人民共和国职业病防治法》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2002.5.1起施行</w:t>
      </w:r>
    </w:p>
    <w:p w14:paraId="057C262A">
      <w:pPr>
        <w:spacing w:line="600" w:lineRule="exact"/>
        <w:ind w:firstLine="548"/>
      </w:pPr>
      <w:r>
        <w:rPr>
          <w:rFonts w:ascii="仿宋_GB2312" w:hAnsi="仿宋"/>
          <w:sz w:val="29"/>
        </w:rPr>
        <w:t>（6）《中华人民共和国水污染防治法》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2008.6.1起施行</w:t>
      </w:r>
      <w:r>
        <w:rPr>
          <w:rFonts w:ascii="仿宋_GB2312" w:hAnsi="仿宋"/>
          <w:sz w:val="29"/>
        </w:rPr>
        <w:tab/>
      </w:r>
    </w:p>
    <w:p w14:paraId="70100222">
      <w:pPr>
        <w:spacing w:line="600" w:lineRule="exact"/>
        <w:ind w:firstLine="548"/>
      </w:pPr>
      <w:r>
        <w:rPr>
          <w:rFonts w:ascii="仿宋_GB2312" w:hAnsi="仿宋"/>
          <w:sz w:val="29"/>
        </w:rPr>
        <w:t>（7）《中华人民共和国环境噪声污染防治法》</w:t>
      </w:r>
      <w:r>
        <w:rPr>
          <w:rFonts w:ascii="仿宋_GB2312" w:hAnsi="仿宋"/>
          <w:sz w:val="29"/>
        </w:rPr>
        <w:tab/>
      </w:r>
      <w:r>
        <w:rPr>
          <w:rFonts w:ascii="仿宋_GB2312" w:hAnsi="仿宋"/>
          <w:sz w:val="29"/>
        </w:rPr>
        <w:tab/>
      </w:r>
      <w:r>
        <w:rPr>
          <w:rFonts w:ascii="仿宋_GB2312" w:hAnsi="仿宋"/>
          <w:sz w:val="29"/>
        </w:rPr>
        <w:t>1997.3.1起施行</w:t>
      </w:r>
    </w:p>
    <w:p w14:paraId="6E12AE2C">
      <w:pPr>
        <w:spacing w:line="600" w:lineRule="exact"/>
        <w:ind w:firstLine="548"/>
      </w:pPr>
      <w:r>
        <w:rPr>
          <w:rFonts w:ascii="仿宋_GB2312" w:hAnsi="仿宋"/>
          <w:sz w:val="29"/>
        </w:rPr>
        <w:t>（8《中华人民共和国大气污染防治法》</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2000.9.1起施行</w:t>
      </w:r>
    </w:p>
    <w:p w14:paraId="298A2F04">
      <w:pPr>
        <w:spacing w:line="600" w:lineRule="exact"/>
        <w:ind w:firstLine="548"/>
      </w:pPr>
      <w:r>
        <w:rPr>
          <w:rFonts w:ascii="仿宋_GB2312" w:hAnsi="仿宋"/>
          <w:sz w:val="29"/>
        </w:rPr>
        <w:t>（9）《中华人民共和国固体废物污染环境防治法》2005.4.1起施行</w:t>
      </w:r>
    </w:p>
    <w:p w14:paraId="5DEE213A">
      <w:pPr>
        <w:spacing w:line="600" w:lineRule="exact"/>
        <w:ind w:firstLine="548"/>
      </w:pPr>
      <w:r>
        <w:rPr>
          <w:rFonts w:ascii="仿宋_GB2312" w:hAnsi="仿宋"/>
          <w:sz w:val="29"/>
        </w:rPr>
        <w:t>（10）《中华人民共和国清洁生产促进法》</w:t>
      </w:r>
      <w:r>
        <w:rPr>
          <w:rFonts w:ascii="仿宋_GB2312" w:hAnsi="仿宋"/>
          <w:sz w:val="29"/>
        </w:rPr>
        <w:tab/>
      </w:r>
      <w:r>
        <w:rPr>
          <w:rFonts w:ascii="仿宋_GB2312" w:hAnsi="仿宋"/>
          <w:sz w:val="29"/>
        </w:rPr>
        <w:t>2003年1月1日起施行</w:t>
      </w:r>
    </w:p>
    <w:p w14:paraId="3316F146">
      <w:pPr>
        <w:spacing w:line="600" w:lineRule="exact"/>
        <w:ind w:firstLine="548"/>
      </w:pPr>
      <w:r>
        <w:rPr>
          <w:rFonts w:ascii="仿宋_GB2312" w:hAnsi="仿宋"/>
          <w:sz w:val="29"/>
        </w:rPr>
        <w:t>（11）《中华人民共和国城乡规划法中华人民共和国城乡规划法》</w:t>
      </w:r>
    </w:p>
    <w:p w14:paraId="5A4CD86C">
      <w:pPr>
        <w:spacing w:line="600" w:lineRule="exact"/>
        <w:ind w:firstLine="548"/>
      </w:pPr>
      <w:r>
        <w:rPr>
          <w:rFonts w:ascii="仿宋_GB2312" w:hAnsi="仿宋"/>
          <w:sz w:val="29"/>
        </w:rPr>
        <w:t>（12）</w:t>
      </w:r>
      <w:r>
        <w:rPr>
          <w:rFonts w:ascii="仿宋_GB2312"/>
          <w:sz w:val="28"/>
          <w:szCs w:val="28"/>
        </w:rPr>
        <w:t>《中华人民共和国石油天然气管道保护法》</w:t>
      </w:r>
    </w:p>
    <w:p w14:paraId="71E77886">
      <w:pPr>
        <w:spacing w:line="600" w:lineRule="exact"/>
        <w:ind w:firstLine="560"/>
        <w:rPr>
          <w:rFonts w:ascii="仿宋_GB2312" w:hAnsi="仿宋"/>
          <w:sz w:val="29"/>
        </w:rPr>
      </w:pP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ab/>
      </w:r>
      <w:r>
        <w:rPr>
          <w:rFonts w:ascii="仿宋_GB2312"/>
          <w:sz w:val="28"/>
          <w:szCs w:val="28"/>
        </w:rPr>
        <w:t>2010年10月1日起施行</w:t>
      </w:r>
    </w:p>
    <w:p w14:paraId="0012D315">
      <w:pPr>
        <w:spacing w:line="600" w:lineRule="exact"/>
        <w:ind w:firstLine="548"/>
      </w:pPr>
      <w:r>
        <w:rPr>
          <w:rFonts w:ascii="仿宋_GB2312" w:hAnsi="仿宋"/>
          <w:sz w:val="29"/>
        </w:rPr>
        <w:t>2、国家和地方行政法规</w:t>
      </w:r>
    </w:p>
    <w:p w14:paraId="368C4300">
      <w:pPr>
        <w:spacing w:line="600" w:lineRule="exact"/>
        <w:ind w:firstLine="548"/>
      </w:pPr>
      <w:r>
        <w:rPr>
          <w:rFonts w:ascii="仿宋_GB2312" w:hAnsi="仿宋"/>
          <w:sz w:val="29"/>
        </w:rPr>
        <w:t>（1）《城镇燃气管理条例》                     2011.3.1起施行</w:t>
      </w:r>
    </w:p>
    <w:p w14:paraId="1E492FB0">
      <w:pPr>
        <w:spacing w:line="600" w:lineRule="exact"/>
        <w:ind w:firstLine="548"/>
      </w:pPr>
      <w:r>
        <w:rPr>
          <w:rFonts w:ascii="仿宋_GB2312" w:hAnsi="仿宋"/>
          <w:sz w:val="29"/>
        </w:rPr>
        <w:t>（2）《特种设备安全监察条例》</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2009.5.1起施行</w:t>
      </w:r>
    </w:p>
    <w:p w14:paraId="29B96FBF">
      <w:pPr>
        <w:spacing w:line="600" w:lineRule="exact"/>
        <w:ind w:firstLine="548"/>
      </w:pPr>
      <w:r>
        <w:rPr>
          <w:rFonts w:ascii="仿宋_GB2312" w:hAnsi="仿宋"/>
          <w:sz w:val="29"/>
        </w:rPr>
        <w:t>（3）《国务院关于进一步加强安全生产工作的决定》（国发[2004]2号）</w:t>
      </w:r>
    </w:p>
    <w:p w14:paraId="736CC25C">
      <w:pPr>
        <w:spacing w:line="600" w:lineRule="exact"/>
        <w:ind w:firstLine="548"/>
      </w:pPr>
      <w:r>
        <w:rPr>
          <w:rFonts w:ascii="仿宋_GB2312" w:hAnsi="仿宋"/>
          <w:sz w:val="29"/>
        </w:rPr>
        <w:t>（4）《压力管道安全管理与监察规定》</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1996.7.1起施行</w:t>
      </w:r>
    </w:p>
    <w:p w14:paraId="4BD90706">
      <w:pPr>
        <w:spacing w:line="600" w:lineRule="exact"/>
        <w:ind w:firstLine="548"/>
      </w:pPr>
      <w:r>
        <w:rPr>
          <w:rFonts w:ascii="仿宋_GB2312" w:hAnsi="仿宋"/>
          <w:sz w:val="29"/>
        </w:rPr>
        <w:t>（5）《住房和城乡建设部关于开展中小城市基础设施完善“十二五”规划编制工作的通知》（建办规函〔2010〕235号）</w:t>
      </w:r>
    </w:p>
    <w:p w14:paraId="5BF342B8">
      <w:pPr>
        <w:spacing w:line="600" w:lineRule="exact"/>
        <w:ind w:firstLine="548"/>
      </w:pPr>
      <w:r>
        <w:rPr>
          <w:rFonts w:ascii="仿宋_GB2312" w:hAnsi="仿宋"/>
          <w:sz w:val="29"/>
        </w:rPr>
        <w:t>（6）《福建省燃气管理条例》                   2008.1.1起施行</w:t>
      </w:r>
    </w:p>
    <w:p w14:paraId="1FC4D2E6">
      <w:pPr>
        <w:spacing w:line="600" w:lineRule="exact"/>
        <w:ind w:firstLine="548"/>
      </w:pPr>
      <w:r>
        <w:rPr>
          <w:rFonts w:ascii="仿宋_GB2312" w:hAnsi="仿宋"/>
          <w:sz w:val="29"/>
        </w:rPr>
        <w:t>（7）《福建省环境保护条例》</w:t>
      </w:r>
    </w:p>
    <w:p w14:paraId="144FE094">
      <w:pPr>
        <w:spacing w:line="600" w:lineRule="exact"/>
        <w:ind w:firstLine="548"/>
      </w:pPr>
      <w:r>
        <w:rPr>
          <w:rFonts w:ascii="仿宋_GB2312" w:hAnsi="仿宋"/>
          <w:sz w:val="29"/>
        </w:rPr>
        <w:t>（8）《福建省人民政府关于做好福建省“十二五”规划研究编制工作的通知》（闽政文</w:t>
      </w:r>
      <w:r>
        <w:rPr>
          <w:rFonts w:ascii="仿宋_GB2312" w:hAnsi="仿宋"/>
          <w:sz w:val="29"/>
        </w:rPr>
        <w:tab/>
      </w:r>
      <w:r>
        <w:rPr>
          <w:rFonts w:ascii="仿宋_GB2312" w:hAnsi="仿宋"/>
          <w:sz w:val="29"/>
        </w:rPr>
        <w:t>〔2009〕385号）</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p>
    <w:p w14:paraId="3DABC12E">
      <w:pPr>
        <w:spacing w:line="600" w:lineRule="exact"/>
        <w:ind w:firstLine="548"/>
      </w:pPr>
      <w:r>
        <w:rPr>
          <w:rFonts w:ascii="仿宋_GB2312" w:hAnsi="仿宋"/>
          <w:sz w:val="29"/>
        </w:rPr>
        <w:t>（9）《福建省住房和城乡建设厅关于做好住房和城乡建设事业“十二五”规划编制工作的通知》</w:t>
      </w:r>
      <w:r>
        <w:rPr>
          <w:rFonts w:ascii="仿宋_GB2312" w:hAnsi="仿宋"/>
          <w:sz w:val="29"/>
        </w:rPr>
        <w:tab/>
      </w:r>
      <w:r>
        <w:rPr>
          <w:rFonts w:ascii="仿宋_GB2312" w:hAnsi="仿宋"/>
          <w:sz w:val="29"/>
        </w:rPr>
        <w:tab/>
      </w:r>
      <w:r>
        <w:rPr>
          <w:rFonts w:ascii="仿宋_GB2312" w:hAnsi="仿宋"/>
          <w:sz w:val="29"/>
        </w:rPr>
        <w:t>（闽建计〔2010〕6号）</w:t>
      </w:r>
    </w:p>
    <w:p w14:paraId="2F81DB69">
      <w:pPr>
        <w:spacing w:line="600" w:lineRule="exact"/>
        <w:ind w:firstLine="548"/>
      </w:pPr>
      <w:r>
        <w:rPr>
          <w:rFonts w:ascii="仿宋_GB2312" w:hAnsi="仿宋"/>
          <w:sz w:val="29"/>
        </w:rPr>
        <w:t>（10）《福建省住房和城乡建设厅关于开展“十二五”城镇污水、垃圾处理和供气、交通规划编制工作的通知》（闽建城函〔2010〕69号）</w:t>
      </w:r>
    </w:p>
    <w:p w14:paraId="7A54B659">
      <w:pPr>
        <w:spacing w:line="600" w:lineRule="exact"/>
        <w:ind w:firstLine="548"/>
      </w:pPr>
      <w:r>
        <w:rPr>
          <w:rFonts w:ascii="仿宋_GB2312" w:hAnsi="仿宋"/>
          <w:sz w:val="29"/>
        </w:rPr>
        <w:t>（11）《建设项目经济评价方法与参数》</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（第三版）</w:t>
      </w:r>
    </w:p>
    <w:p w14:paraId="23C39E36">
      <w:pPr>
        <w:spacing w:line="600" w:lineRule="exact"/>
        <w:ind w:firstLine="548"/>
      </w:pPr>
      <w:r>
        <w:rPr>
          <w:rFonts w:ascii="仿宋_GB2312" w:hAnsi="仿宋"/>
          <w:sz w:val="29"/>
        </w:rPr>
        <w:t>3、福建省国民经济和社会发展中长期规划</w:t>
      </w:r>
    </w:p>
    <w:p w14:paraId="5D6A6784">
      <w:pPr>
        <w:spacing w:line="600" w:lineRule="exact"/>
        <w:ind w:firstLine="548"/>
      </w:pPr>
      <w:r>
        <w:rPr>
          <w:rFonts w:ascii="仿宋_GB2312" w:hAnsi="仿宋"/>
          <w:sz w:val="29"/>
        </w:rPr>
        <w:t>（1）《福建省“十二五”规划总体思路》</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福建省发改委</w:t>
      </w:r>
    </w:p>
    <w:p w14:paraId="5BB0F589">
      <w:pPr>
        <w:spacing w:line="600" w:lineRule="exact"/>
        <w:ind w:firstLine="548"/>
      </w:pPr>
      <w:r>
        <w:rPr>
          <w:rFonts w:ascii="仿宋_GB2312" w:hAnsi="仿宋"/>
          <w:sz w:val="29"/>
        </w:rPr>
        <w:t>（2）《福建省国民经济和社会发展第十一个五年规划纲要》</w:t>
      </w:r>
    </w:p>
    <w:p w14:paraId="7BC601BE">
      <w:pPr>
        <w:spacing w:line="600" w:lineRule="exact"/>
        <w:ind w:firstLine="548"/>
      </w:pPr>
      <w:r>
        <w:rPr>
          <w:rFonts w:ascii="仿宋_GB2312" w:hAnsi="仿宋"/>
          <w:sz w:val="29"/>
        </w:rPr>
        <w:t>（3）《海峡西岸经济区建设纲要（试行）》</w:t>
      </w:r>
    </w:p>
    <w:p w14:paraId="7B5EC2FD">
      <w:pPr>
        <w:spacing w:line="600" w:lineRule="exact"/>
        <w:ind w:firstLine="548"/>
      </w:pPr>
      <w:r>
        <w:rPr>
          <w:rFonts w:ascii="仿宋_GB2312" w:hAnsi="仿宋"/>
          <w:sz w:val="29"/>
        </w:rPr>
        <w:t>4、规划</w:t>
      </w:r>
    </w:p>
    <w:p w14:paraId="397C82BA">
      <w:pPr>
        <w:spacing w:line="600" w:lineRule="exact"/>
        <w:ind w:firstLine="548"/>
      </w:pPr>
      <w:r>
        <w:rPr>
          <w:rFonts w:ascii="仿宋_GB2312" w:hAnsi="仿宋"/>
          <w:sz w:val="29"/>
        </w:rPr>
        <w:t>（1）《福建省城镇体系规划》</w:t>
      </w:r>
    </w:p>
    <w:p w14:paraId="7B146C37">
      <w:pPr>
        <w:spacing w:line="600" w:lineRule="exact"/>
        <w:ind w:firstLine="548"/>
      </w:pPr>
      <w:r>
        <w:rPr>
          <w:rFonts w:ascii="仿宋_GB2312" w:hAnsi="仿宋"/>
          <w:sz w:val="29"/>
        </w:rPr>
        <w:t>（2）《福建生态省建设总体规划纲要》</w:t>
      </w:r>
    </w:p>
    <w:p w14:paraId="461AA79F">
      <w:pPr>
        <w:spacing w:line="600" w:lineRule="exact"/>
        <w:ind w:firstLine="548"/>
      </w:pPr>
      <w:r>
        <w:rPr>
          <w:rFonts w:ascii="仿宋_GB2312" w:hAnsi="仿宋"/>
          <w:sz w:val="29"/>
        </w:rPr>
        <w:t>（3）《福建省“十二五”能源发展专项规划》</w:t>
      </w:r>
    </w:p>
    <w:p w14:paraId="63C88FB9">
      <w:pPr>
        <w:spacing w:line="600" w:lineRule="exact"/>
        <w:ind w:firstLine="548"/>
      </w:pPr>
      <w:r>
        <w:rPr>
          <w:rFonts w:ascii="仿宋_GB2312" w:hAnsi="仿宋"/>
          <w:sz w:val="29"/>
        </w:rPr>
        <w:t>（3）各城市总体规划</w:t>
      </w:r>
    </w:p>
    <w:p w14:paraId="55F7AE2F">
      <w:pPr>
        <w:spacing w:line="600" w:lineRule="exact"/>
        <w:ind w:firstLine="548"/>
      </w:pPr>
      <w:r>
        <w:rPr>
          <w:rFonts w:ascii="仿宋_GB2312" w:hAnsi="仿宋"/>
          <w:sz w:val="29"/>
        </w:rPr>
        <w:t>（4）《福建省天然气市场分析报告》</w:t>
      </w:r>
    </w:p>
    <w:p w14:paraId="5D510285">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中海福建天然气有限责任公司</w:t>
      </w:r>
    </w:p>
    <w:p w14:paraId="6FEB7544">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北京市煤气热力工程设计院有限公司  2008.8</w:t>
      </w:r>
    </w:p>
    <w:p w14:paraId="479E39F2">
      <w:pPr>
        <w:spacing w:line="600" w:lineRule="exact"/>
        <w:ind w:firstLine="548"/>
      </w:pPr>
      <w:r>
        <w:rPr>
          <w:rFonts w:ascii="仿宋_GB2312" w:hAnsi="仿宋"/>
          <w:sz w:val="29"/>
        </w:rPr>
        <w:t>（5）《福建省天然气管网规划》</w:t>
      </w:r>
    </w:p>
    <w:p w14:paraId="7E4A5985">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中海福建天然气有限责任公司</w:t>
      </w:r>
    </w:p>
    <w:p w14:paraId="74C59728">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北京市煤气热力工程设计院有限公司  2008.9</w:t>
      </w:r>
    </w:p>
    <w:p w14:paraId="30150074">
      <w:pPr>
        <w:spacing w:line="600" w:lineRule="exact"/>
        <w:ind w:firstLine="548"/>
      </w:pPr>
      <w:r>
        <w:rPr>
          <w:rFonts w:ascii="仿宋_GB2312" w:hAnsi="仿宋"/>
          <w:sz w:val="29"/>
        </w:rPr>
        <w:t>（6）《海峡西岸经济区天然气管网建设规划》</w:t>
      </w:r>
    </w:p>
    <w:p w14:paraId="23FD6A0F">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福建省发展和改革委员会  2009.10</w:t>
      </w:r>
    </w:p>
    <w:p w14:paraId="57908D68">
      <w:pPr>
        <w:spacing w:line="600" w:lineRule="exact"/>
        <w:ind w:firstLine="548"/>
      </w:pPr>
      <w:r>
        <w:rPr>
          <w:rFonts w:ascii="仿宋_GB2312" w:hAnsi="仿宋"/>
          <w:sz w:val="29"/>
        </w:rPr>
        <w:t>（7）《福建省天然气汽车加气发展规划（2010～2020年）》</w:t>
      </w:r>
    </w:p>
    <w:p w14:paraId="52E3F4FE">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浙江城建煤气热电设计院有限公司</w:t>
      </w:r>
    </w:p>
    <w:p w14:paraId="52077703">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福建省新五环工程设计院有限公司  2010.7</w:t>
      </w:r>
    </w:p>
    <w:p w14:paraId="708E89A9">
      <w:pPr>
        <w:spacing w:line="600" w:lineRule="exact"/>
        <w:ind w:firstLine="548"/>
      </w:pPr>
      <w:r>
        <w:rPr>
          <w:rFonts w:ascii="仿宋_GB2312" w:hAnsi="仿宋"/>
          <w:sz w:val="29"/>
        </w:rPr>
        <w:t>5、年报</w:t>
      </w:r>
    </w:p>
    <w:p w14:paraId="1633874C">
      <w:pPr>
        <w:spacing w:line="600" w:lineRule="exact"/>
        <w:ind w:firstLine="548"/>
      </w:pPr>
      <w:r>
        <w:rPr>
          <w:rFonts w:ascii="仿宋_GB2312" w:hAnsi="仿宋"/>
          <w:sz w:val="29"/>
        </w:rPr>
        <w:t>（1）《福建统计年鉴2010年》</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 xml:space="preserve">    </w:t>
      </w:r>
      <w:r>
        <w:rPr>
          <w:rFonts w:ascii="仿宋_GB2312" w:hAnsi="仿宋"/>
          <w:sz w:val="29"/>
        </w:rPr>
        <w:tab/>
      </w:r>
      <w:r>
        <w:rPr>
          <w:rFonts w:ascii="仿宋_GB2312" w:hAnsi="仿宋"/>
          <w:sz w:val="29"/>
        </w:rPr>
        <w:t>福建省统计局</w:t>
      </w:r>
    </w:p>
    <w:p w14:paraId="77972DF3">
      <w:pPr>
        <w:spacing w:line="600" w:lineRule="exact"/>
        <w:ind w:firstLine="548"/>
      </w:pPr>
      <w:r>
        <w:rPr>
          <w:rFonts w:ascii="仿宋_GB2312" w:hAnsi="仿宋"/>
          <w:sz w:val="29"/>
        </w:rPr>
        <w:t>（2）《2010年福建省国民经济和社会发展统计公报》</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福建省统计局2011.2.21</w:t>
      </w:r>
    </w:p>
    <w:p w14:paraId="243FFD94">
      <w:pPr>
        <w:spacing w:line="600" w:lineRule="exact"/>
        <w:ind w:firstLine="548"/>
      </w:pPr>
      <w:r>
        <w:rPr>
          <w:rFonts w:ascii="仿宋_GB2312" w:hAnsi="仿宋"/>
          <w:sz w:val="29"/>
        </w:rPr>
        <w:t>（3）《福建省城市建设与村镇建设统计年报（2010年）》</w:t>
      </w:r>
    </w:p>
    <w:p w14:paraId="3679BE0A">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福建省住房和城乡建设厅</w:t>
      </w:r>
    </w:p>
    <w:p w14:paraId="3A6273C8">
      <w:pPr>
        <w:spacing w:line="600" w:lineRule="exact"/>
        <w:ind w:firstLine="548"/>
      </w:pPr>
      <w:r>
        <w:rPr>
          <w:rFonts w:ascii="仿宋_GB2312" w:hAnsi="仿宋"/>
          <w:sz w:val="29"/>
        </w:rPr>
        <w:t>6、资料</w:t>
      </w:r>
    </w:p>
    <w:p w14:paraId="5C4ACCC2">
      <w:pPr>
        <w:spacing w:line="600" w:lineRule="exact"/>
        <w:ind w:firstLine="548"/>
      </w:pPr>
      <w:r>
        <w:rPr>
          <w:rFonts w:ascii="仿宋_GB2312" w:hAnsi="仿宋"/>
          <w:sz w:val="29"/>
        </w:rPr>
        <w:t>（1）各市、县报送的《福建省城镇燃气现状基础设施—液化石油气基</w:t>
      </w:r>
      <w:r>
        <w:rPr>
          <w:rFonts w:ascii="仿宋_GB2312" w:hAnsi="仿宋"/>
          <w:sz w:val="29"/>
        </w:rPr>
        <w:tab/>
      </w:r>
      <w:r>
        <w:rPr>
          <w:rFonts w:ascii="仿宋_GB2312" w:hAnsi="仿宋"/>
          <w:sz w:val="29"/>
        </w:rPr>
        <w:tab/>
      </w:r>
      <w:r>
        <w:rPr>
          <w:rFonts w:ascii="仿宋_GB2312" w:hAnsi="仿宋"/>
          <w:sz w:val="29"/>
        </w:rPr>
        <w:t>本情况调查表》</w:t>
      </w:r>
    </w:p>
    <w:p w14:paraId="10C91FCE">
      <w:pPr>
        <w:spacing w:line="600" w:lineRule="exact"/>
        <w:ind w:firstLine="548"/>
      </w:pPr>
      <w:r>
        <w:rPr>
          <w:rFonts w:ascii="仿宋_GB2312" w:hAnsi="仿宋"/>
          <w:sz w:val="29"/>
        </w:rPr>
        <w:t>（2）各市、县报送的《福建省城镇燃气现状基础设施—人工煤气基本</w:t>
      </w:r>
      <w:r>
        <w:rPr>
          <w:rFonts w:ascii="仿宋_GB2312" w:hAnsi="仿宋"/>
          <w:sz w:val="29"/>
        </w:rPr>
        <w:tab/>
      </w:r>
      <w:r>
        <w:rPr>
          <w:rFonts w:ascii="仿宋_GB2312" w:hAnsi="仿宋"/>
          <w:sz w:val="29"/>
        </w:rPr>
        <w:tab/>
      </w:r>
      <w:r>
        <w:rPr>
          <w:rFonts w:ascii="仿宋_GB2312" w:hAnsi="仿宋"/>
          <w:sz w:val="29"/>
        </w:rPr>
        <w:t>情况调查表》</w:t>
      </w:r>
    </w:p>
    <w:p w14:paraId="57C4EC21">
      <w:pPr>
        <w:spacing w:line="600" w:lineRule="exact"/>
        <w:ind w:firstLine="548"/>
      </w:pPr>
      <w:r>
        <w:rPr>
          <w:rFonts w:ascii="仿宋_GB2312" w:hAnsi="仿宋"/>
          <w:sz w:val="29"/>
        </w:rPr>
        <w:t>（3）各市、县报送的《福建省城镇燃气现状基础设施—天然气基本</w:t>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情况调查表》</w:t>
      </w:r>
    </w:p>
    <w:p w14:paraId="5A5B8CA1">
      <w:pPr>
        <w:spacing w:line="600" w:lineRule="exact"/>
        <w:ind w:firstLine="548"/>
      </w:pPr>
      <w:r>
        <w:rPr>
          <w:rFonts w:ascii="仿宋_GB2312" w:hAnsi="仿宋"/>
          <w:sz w:val="29"/>
        </w:rPr>
        <w:t>（4）各市、县报送的《福建省城镇燃气设施建设规划主要项目投资计</w:t>
      </w:r>
      <w:r>
        <w:rPr>
          <w:rFonts w:ascii="仿宋_GB2312" w:hAnsi="仿宋"/>
          <w:sz w:val="29"/>
        </w:rPr>
        <w:tab/>
      </w:r>
      <w:r>
        <w:rPr>
          <w:rFonts w:ascii="仿宋_GB2312" w:hAnsi="仿宋"/>
          <w:sz w:val="29"/>
        </w:rPr>
        <w:tab/>
      </w:r>
      <w:r>
        <w:rPr>
          <w:rFonts w:ascii="仿宋_GB2312" w:hAnsi="仿宋"/>
          <w:sz w:val="29"/>
        </w:rPr>
        <w:t>划及建设安排表》</w:t>
      </w:r>
    </w:p>
    <w:p w14:paraId="21BEF708">
      <w:pPr>
        <w:spacing w:line="600" w:lineRule="exact"/>
        <w:ind w:firstLine="548"/>
      </w:pPr>
      <w:r>
        <w:rPr>
          <w:rFonts w:ascii="仿宋_GB2312" w:hAnsi="仿宋"/>
          <w:sz w:val="29"/>
        </w:rPr>
        <w:t>7、定额</w:t>
      </w:r>
    </w:p>
    <w:p w14:paraId="76E87132">
      <w:pPr>
        <w:spacing w:line="600" w:lineRule="exact"/>
        <w:ind w:firstLine="548"/>
      </w:pPr>
      <w:r>
        <w:rPr>
          <w:rFonts w:ascii="仿宋_GB2312" w:hAnsi="仿宋"/>
          <w:sz w:val="29"/>
        </w:rPr>
        <w:t>（1）《石油建设安装工程概算指标》</w:t>
      </w:r>
      <w:r>
        <w:rPr>
          <w:rFonts w:ascii="仿宋_GB2312" w:hAnsi="仿宋"/>
          <w:sz w:val="29"/>
        </w:rPr>
        <w:tab/>
      </w:r>
      <w:r>
        <w:rPr>
          <w:rFonts w:ascii="仿宋_GB2312" w:hAnsi="仿宋"/>
          <w:sz w:val="29"/>
        </w:rPr>
        <w:t>中国石油天然气股份有限公司</w:t>
      </w:r>
    </w:p>
    <w:p w14:paraId="3853EFCC">
      <w:pPr>
        <w:spacing w:line="600" w:lineRule="exact"/>
        <w:ind w:firstLine="548"/>
      </w:pPr>
      <w:r>
        <w:rPr>
          <w:rFonts w:ascii="仿宋_GB2312" w:hAnsi="仿宋"/>
          <w:sz w:val="29"/>
        </w:rPr>
        <w:t>（2）《长距离输送管道工程投资参考指标》</w:t>
      </w:r>
    </w:p>
    <w:p w14:paraId="53543B32">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中国石油天然气股份有限公司</w:t>
      </w:r>
    </w:p>
    <w:p w14:paraId="4511241F">
      <w:pPr>
        <w:spacing w:line="600" w:lineRule="exact"/>
        <w:ind w:firstLine="548"/>
      </w:pPr>
      <w:r>
        <w:rPr>
          <w:rFonts w:ascii="仿宋_GB2312" w:hAnsi="仿宋"/>
          <w:sz w:val="29"/>
        </w:rPr>
        <w:t>（3）《石油安装工程费用定额、石油建设工程其他费用规定》</w:t>
      </w:r>
    </w:p>
    <w:p w14:paraId="3313F454">
      <w:pPr>
        <w:spacing w:line="600" w:lineRule="exact"/>
        <w:ind w:firstLine="548"/>
      </w:pP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ab/>
      </w:r>
      <w:r>
        <w:rPr>
          <w:rFonts w:ascii="仿宋_GB2312" w:hAnsi="仿宋"/>
          <w:sz w:val="29"/>
        </w:rPr>
        <w:t>中国石油天然气总公司</w:t>
      </w:r>
    </w:p>
    <w:p w14:paraId="6A00692A">
      <w:pPr>
        <w:spacing w:line="600" w:lineRule="exact"/>
        <w:ind w:firstLine="548"/>
      </w:pPr>
      <w:r>
        <w:rPr>
          <w:rFonts w:ascii="仿宋_GB2312" w:hAnsi="仿宋"/>
          <w:sz w:val="29"/>
        </w:rPr>
        <w:t xml:space="preserve"> (4)福建省相关定额</w:t>
      </w:r>
    </w:p>
    <w:p w14:paraId="17ACE8ED">
      <w:pPr>
        <w:spacing w:line="600" w:lineRule="exact"/>
        <w:ind w:firstLine="548"/>
        <w:rPr>
          <w:rFonts w:ascii="仿宋_GB2312" w:hAnsi="仿宋"/>
          <w:sz w:val="29"/>
        </w:rPr>
      </w:pPr>
    </w:p>
    <w:p w14:paraId="1D589055">
      <w:pPr>
        <w:spacing w:line="600" w:lineRule="exact"/>
        <w:ind w:firstLine="548"/>
      </w:pPr>
      <w:r>
        <w:rPr>
          <w:rFonts w:ascii="仿宋_GB2312" w:hAnsi="仿宋"/>
          <w:sz w:val="29"/>
        </w:rPr>
        <w:t>（二）规划原则</w:t>
      </w:r>
    </w:p>
    <w:p w14:paraId="11E6F26F">
      <w:pPr>
        <w:spacing w:line="600" w:lineRule="exact"/>
        <w:ind w:firstLine="548"/>
      </w:pPr>
      <w:r>
        <w:rPr>
          <w:rFonts w:ascii="仿宋_GB2312" w:hAnsi="仿宋"/>
          <w:sz w:val="29"/>
        </w:rPr>
        <w:t>1、总体原则</w:t>
      </w:r>
    </w:p>
    <w:p w14:paraId="1C4FB441">
      <w:pPr>
        <w:ind w:firstLine="548"/>
      </w:pPr>
      <w:r>
        <w:rPr>
          <w:rFonts w:ascii="仿宋_GB2312" w:hAnsi="仿宋"/>
          <w:sz w:val="29"/>
        </w:rPr>
        <w:t>福建省城镇燃气基础设施建设与发展规划以科学发展观为指导，紧紧围绕福建省加快建设海峡西岸经济区的需要，原则不新增液化石油气储配站、灌瓶站，加快LNG管网和卫星站建设，满足城乡尽快普及使用天然气的需要，并逐步以支线管道替代LNG气化站，实现LNG气化站与管道供气方式滚动协调发展；在充分满足居民需要的基础上，重点拓展工业、汽车和公共服务用气；按照落实海西纲要及城镇群、能源规划的要求，适当超前建设；发挥清洁能源优势，引导和促进能源结构的优化。</w:t>
      </w:r>
    </w:p>
    <w:p w14:paraId="7025E8C8">
      <w:pPr>
        <w:spacing w:line="600" w:lineRule="exact"/>
        <w:ind w:firstLine="548"/>
      </w:pPr>
      <w:r>
        <w:rPr>
          <w:rFonts w:ascii="仿宋_GB2312" w:hAnsi="仿宋"/>
          <w:sz w:val="29"/>
        </w:rPr>
        <w:t>2、技术路线方针</w:t>
      </w:r>
    </w:p>
    <w:p w14:paraId="2CD0C88F">
      <w:pPr>
        <w:ind w:firstLine="466"/>
      </w:pPr>
      <w:r>
        <w:rPr>
          <w:rFonts w:ascii="仿宋_GB2312" w:hAnsi="仿宋"/>
          <w:sz w:val="29"/>
        </w:rPr>
        <w:t>(1)合理预测，分类市场布局的原则。市场开发要贯彻国家《天然气利用政策》，准确判断福建省各地区经济发展趋势，结合省内天然气发展实际以及地理、环境因素，分类推进福建省天然气市场开发。I类市场应继续提高民用、公共服务用天然气气化率，发展工业用气和汽车用气，推广如天然气冷热电三联供等能源综合利用项目。II类市场重点发展公共服务、制冷供热用气（天然气冷、热、电三联供），并积极发展居民生活用气，在经济基础相对较好的地区发展天然气汽车，针对重点工业用户发展天然气工业用气；有条件引入管道天然气的县市建设供气支线供气，在尚不具备条件的地区先行建设液化天然气卫星站。III类市场在人口相对密集的县市建设液化天然气卫星站供气，满足公共服务及居民生活用气的需求，为远期配管工程的建设预留管线接口，并适当推广天然气冷热电三联供技术。</w:t>
      </w:r>
    </w:p>
    <w:p w14:paraId="57E87F97">
      <w:pPr>
        <w:ind w:firstLine="466"/>
      </w:pPr>
      <w:r>
        <w:rPr>
          <w:rFonts w:ascii="仿宋_GB2312" w:hAnsi="仿宋"/>
          <w:color w:val="FF0000"/>
          <w:sz w:val="29"/>
        </w:rPr>
        <w:t>（</w:t>
      </w:r>
      <w:r>
        <w:rPr>
          <w:rFonts w:ascii="仿宋_GB2312" w:hAnsi="仿宋"/>
          <w:sz w:val="29"/>
        </w:rPr>
        <w:t>注：I类市场：满足以下条件中任意一项的城市。</w:t>
      </w:r>
    </w:p>
    <w:p w14:paraId="47CBCB45">
      <w:pPr>
        <w:ind w:firstLine="466"/>
      </w:pPr>
      <w:r>
        <w:rPr>
          <w:rFonts w:ascii="仿宋_GB2312" w:hAnsi="仿宋"/>
          <w:sz w:val="29"/>
        </w:rPr>
        <w:tab/>
      </w:r>
      <w:r>
        <w:rPr>
          <w:rFonts w:ascii="仿宋_GB2312" w:hAnsi="仿宋"/>
          <w:sz w:val="29"/>
        </w:rPr>
        <w:tab/>
      </w:r>
      <w:r>
        <w:rPr>
          <w:rFonts w:ascii="仿宋_GB2312" w:hAnsi="仿宋"/>
          <w:sz w:val="29"/>
        </w:rPr>
        <w:t>■年GDP大于200亿元</w:t>
      </w:r>
    </w:p>
    <w:p w14:paraId="01463D26">
      <w:pPr>
        <w:ind w:firstLine="466"/>
      </w:pPr>
      <w:r>
        <w:rPr>
          <w:rFonts w:ascii="仿宋_GB2312" w:hAnsi="仿宋"/>
          <w:sz w:val="29"/>
        </w:rPr>
        <w:tab/>
      </w:r>
      <w:r>
        <w:rPr>
          <w:rFonts w:ascii="仿宋_GB2312" w:hAnsi="仿宋"/>
          <w:sz w:val="29"/>
        </w:rPr>
        <w:tab/>
      </w:r>
      <w:r>
        <w:rPr>
          <w:rFonts w:ascii="仿宋_GB2312" w:hAnsi="仿宋"/>
          <w:sz w:val="29"/>
        </w:rPr>
        <w:t>■现状人口总数超过100万人</w:t>
      </w:r>
    </w:p>
    <w:p w14:paraId="2CE4C91F">
      <w:pPr>
        <w:ind w:firstLine="466"/>
      </w:pPr>
      <w:r>
        <w:rPr>
          <w:rFonts w:ascii="仿宋_GB2312" w:hAnsi="仿宋"/>
          <w:sz w:val="29"/>
        </w:rPr>
        <w:tab/>
      </w:r>
      <w:r>
        <w:rPr>
          <w:rFonts w:ascii="仿宋_GB2312" w:hAnsi="仿宋"/>
          <w:sz w:val="29"/>
        </w:rPr>
        <w:tab/>
      </w:r>
      <w:r>
        <w:rPr>
          <w:rFonts w:ascii="仿宋_GB2312" w:hAnsi="仿宋"/>
          <w:sz w:val="29"/>
        </w:rPr>
        <w:t>■规划人口规模在100万人以上</w:t>
      </w:r>
    </w:p>
    <w:p w14:paraId="3EBD2D74">
      <w:pPr>
        <w:ind w:firstLine="466"/>
      </w:pPr>
      <w:r>
        <w:rPr>
          <w:rFonts w:ascii="仿宋_GB2312" w:hAnsi="仿宋"/>
          <w:sz w:val="29"/>
        </w:rPr>
        <w:tab/>
      </w:r>
      <w:r>
        <w:rPr>
          <w:rFonts w:ascii="仿宋_GB2312" w:hAnsi="仿宋"/>
          <w:sz w:val="29"/>
        </w:rPr>
        <w:tab/>
      </w:r>
      <w:r>
        <w:rPr>
          <w:rFonts w:ascii="仿宋_GB2312" w:hAnsi="仿宋"/>
          <w:sz w:val="29"/>
        </w:rPr>
        <w:t>■工业用气发展潜力大</w:t>
      </w:r>
    </w:p>
    <w:p w14:paraId="39015482">
      <w:pPr>
        <w:ind w:firstLine="466"/>
      </w:pPr>
      <w:r>
        <w:rPr>
          <w:rFonts w:ascii="仿宋_GB2312" w:hAnsi="仿宋"/>
          <w:sz w:val="29"/>
        </w:rPr>
        <w:t>II类市场：除I类市场外满足以下条件中任意一项的城市。</w:t>
      </w:r>
    </w:p>
    <w:p w14:paraId="0FB3A898">
      <w:pPr>
        <w:ind w:firstLine="466"/>
      </w:pPr>
      <w:r>
        <w:rPr>
          <w:rFonts w:ascii="仿宋_GB2312" w:hAnsi="仿宋"/>
          <w:sz w:val="29"/>
        </w:rPr>
        <w:tab/>
      </w:r>
      <w:r>
        <w:rPr>
          <w:rFonts w:ascii="仿宋_GB2312" w:hAnsi="仿宋"/>
          <w:sz w:val="29"/>
        </w:rPr>
        <w:tab/>
      </w:r>
      <w:r>
        <w:rPr>
          <w:rFonts w:ascii="仿宋_GB2312" w:hAnsi="仿宋"/>
          <w:sz w:val="29"/>
        </w:rPr>
        <w:t>■年GDP在50～200亿元</w:t>
      </w:r>
    </w:p>
    <w:p w14:paraId="0485609A">
      <w:pPr>
        <w:ind w:firstLine="466"/>
      </w:pPr>
      <w:r>
        <w:rPr>
          <w:rFonts w:ascii="仿宋_GB2312" w:hAnsi="仿宋"/>
          <w:sz w:val="29"/>
        </w:rPr>
        <w:tab/>
      </w:r>
      <w:r>
        <w:rPr>
          <w:rFonts w:ascii="仿宋_GB2312" w:hAnsi="仿宋"/>
          <w:sz w:val="29"/>
        </w:rPr>
        <w:tab/>
      </w:r>
      <w:r>
        <w:rPr>
          <w:rFonts w:ascii="仿宋_GB2312" w:hAnsi="仿宋"/>
          <w:sz w:val="29"/>
        </w:rPr>
        <w:t>■现状人口总数在20～100万人</w:t>
      </w:r>
    </w:p>
    <w:p w14:paraId="7F7B7A32">
      <w:pPr>
        <w:ind w:firstLine="466"/>
      </w:pPr>
      <w:r>
        <w:rPr>
          <w:rFonts w:ascii="仿宋_GB2312" w:hAnsi="仿宋"/>
          <w:sz w:val="29"/>
        </w:rPr>
        <w:tab/>
      </w:r>
      <w:r>
        <w:rPr>
          <w:rFonts w:ascii="仿宋_GB2312" w:hAnsi="仿宋"/>
          <w:sz w:val="29"/>
        </w:rPr>
        <w:tab/>
      </w:r>
      <w:r>
        <w:rPr>
          <w:rFonts w:ascii="仿宋_GB2312" w:hAnsi="仿宋"/>
          <w:sz w:val="29"/>
        </w:rPr>
        <w:t>■规划人口规模在20～100万人以上</w:t>
      </w:r>
    </w:p>
    <w:p w14:paraId="4348154D">
      <w:pPr>
        <w:ind w:firstLine="466"/>
      </w:pPr>
      <w:r>
        <w:rPr>
          <w:rFonts w:ascii="仿宋_GB2312" w:hAnsi="仿宋"/>
          <w:sz w:val="29"/>
        </w:rPr>
        <w:tab/>
      </w:r>
      <w:r>
        <w:rPr>
          <w:rFonts w:ascii="仿宋_GB2312" w:hAnsi="仿宋"/>
          <w:sz w:val="29"/>
        </w:rPr>
        <w:tab/>
      </w:r>
      <w:r>
        <w:rPr>
          <w:rFonts w:ascii="仿宋_GB2312" w:hAnsi="仿宋"/>
          <w:sz w:val="29"/>
        </w:rPr>
        <w:t>■无工业或天然气替代其它燃料可能性小</w:t>
      </w:r>
    </w:p>
    <w:p w14:paraId="3695FFA7">
      <w:pPr>
        <w:ind w:firstLine="466"/>
      </w:pPr>
      <w:r>
        <w:rPr>
          <w:rFonts w:ascii="仿宋_GB2312" w:hAnsi="仿宋"/>
          <w:sz w:val="29"/>
        </w:rPr>
        <w:t>III类市场：除I、II类市场外省内其它县市。）</w:t>
      </w:r>
    </w:p>
    <w:p w14:paraId="4DA2D332">
      <w:pPr>
        <w:ind w:firstLine="466"/>
      </w:pPr>
      <w:r>
        <w:rPr>
          <w:rFonts w:ascii="仿宋_GB2312" w:hAnsi="仿宋"/>
          <w:sz w:val="29"/>
        </w:rPr>
        <w:t xml:space="preserve"> (2)滚动开发，分期实施规划布点LNG气化站的原则。对暂无供气管线接入，或建设管线工程经济性较差的市场规划布点LNG气化站。根据市场分类，重点加快I类、Ⅱ类市场中无管道覆盖区域LNG气化站规划布点，并尽可能提前建设；供气管网延伸扩大覆盖区后，原LNG气化站作为城市调峰站继续使用，并通过扩建方式，逐步提高天然气供应覆盖率与市场占有率。</w:t>
      </w:r>
    </w:p>
    <w:p w14:paraId="0C3D91D0">
      <w:pPr>
        <w:ind w:firstLine="548"/>
        <w:jc w:val="left"/>
      </w:pPr>
      <w:r>
        <w:rPr>
          <w:rFonts w:ascii="仿宋_GB2312" w:hAnsi="仿宋"/>
          <w:sz w:val="29"/>
        </w:rPr>
        <w:t>(3)合理选择天然气汽车技术路线。根据国际国内天然气汽车技术的发展，结合福建省天然气气源情况合理选择天然气汽车技术路线,积极采用技术先进、安全可靠的工艺和设备，与国际标准、水平接轨。</w:t>
      </w:r>
    </w:p>
    <w:p w14:paraId="5A3AF3F2">
      <w:pPr>
        <w:spacing w:line="600" w:lineRule="exact"/>
        <w:ind w:firstLine="548"/>
      </w:pPr>
      <w:r>
        <w:rPr>
          <w:rFonts w:ascii="仿宋_GB2312" w:hAnsi="仿宋"/>
          <w:sz w:val="29"/>
        </w:rPr>
        <w:t>（三）规划范围</w:t>
      </w:r>
    </w:p>
    <w:p w14:paraId="5FDE2611">
      <w:pPr>
        <w:ind w:firstLine="548"/>
        <w:jc w:val="left"/>
      </w:pPr>
      <w:r>
        <w:rPr>
          <w:rFonts w:ascii="仿宋_GB2312" w:hAnsi="仿宋"/>
          <w:sz w:val="29"/>
        </w:rPr>
        <w:t>市场研究范围包括全省9个设区市、26个市辖区、14个县级市、43个县和平潭综合实验区，详见表1-1。</w:t>
      </w:r>
    </w:p>
    <w:p w14:paraId="4C9B2EE2">
      <w:pPr>
        <w:spacing w:line="440" w:lineRule="exact"/>
        <w:jc w:val="center"/>
        <w:rPr>
          <w:rFonts w:ascii="仿宋_GB2312" w:hAnsi="仿宋"/>
          <w:sz w:val="26"/>
          <w:szCs w:val="26"/>
        </w:rPr>
      </w:pPr>
      <w:r>
        <w:rPr>
          <w:rFonts w:ascii="仿宋_GB2312" w:hAnsi="仿宋"/>
          <w:szCs w:val="21"/>
        </w:rPr>
        <w:t xml:space="preserve">表1-1      </w:t>
      </w:r>
      <w:r>
        <w:rPr>
          <w:rFonts w:ascii="仿宋_GB2312" w:hAnsi="仿宋"/>
          <w:sz w:val="24"/>
        </w:rPr>
        <w:t>福建省城镇燃气基础设施规划范围行政区划表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2102"/>
        <w:gridCol w:w="7014"/>
      </w:tblGrid>
      <w:tr w14:paraId="3E6CCE4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9AD9EBD">
            <w:pPr>
              <w:spacing w:line="440" w:lineRule="exact"/>
              <w:jc w:val="left"/>
            </w:pPr>
            <w:r>
              <w:rPr>
                <w:rFonts w:ascii="仿宋_GB2312" w:hAnsi="仿宋"/>
                <w:sz w:val="24"/>
              </w:rPr>
              <w:t>福建省合计</w:t>
            </w:r>
          </w:p>
        </w:tc>
        <w:tc>
          <w:tcPr>
            <w:tcW w:w="7014" w:type="dxa"/>
            <w:vAlign w:val="top"/>
          </w:tcPr>
          <w:p w14:paraId="6DDEB085">
            <w:pPr>
              <w:spacing w:line="440" w:lineRule="exact"/>
              <w:jc w:val="left"/>
            </w:pPr>
            <w:r>
              <w:rPr>
                <w:rFonts w:ascii="仿宋_GB2312" w:hAnsi="仿宋"/>
                <w:szCs w:val="21"/>
              </w:rPr>
              <w:t>共辖 9个设区市、26个市辖区、14个县级市、44个县、平潭综合实验区</w:t>
            </w:r>
          </w:p>
        </w:tc>
      </w:tr>
      <w:tr w14:paraId="32E0453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576CB89">
            <w:pPr>
              <w:spacing w:line="440" w:lineRule="exact"/>
              <w:jc w:val="left"/>
            </w:pPr>
            <w:r>
              <w:rPr>
                <w:rFonts w:ascii="仿宋_GB2312" w:hAnsi="仿宋"/>
                <w:sz w:val="24"/>
              </w:rPr>
              <w:t>福州市</w:t>
            </w:r>
          </w:p>
        </w:tc>
        <w:tc>
          <w:tcPr>
            <w:tcW w:w="7014" w:type="dxa"/>
            <w:vAlign w:val="top"/>
          </w:tcPr>
          <w:p w14:paraId="11F6DE50">
            <w:pPr>
              <w:spacing w:line="320" w:lineRule="exact"/>
              <w:jc w:val="left"/>
            </w:pPr>
            <w:r>
              <w:rPr>
                <w:rFonts w:ascii="仿宋_GB2312" w:hAnsi="仿宋"/>
                <w:sz w:val="24"/>
              </w:rPr>
              <w:t>鼓楼区、仓山区、台江区、马尾区、晋安区、福清市、长乐市、</w:t>
            </w:r>
          </w:p>
          <w:p w14:paraId="1FB4AD31">
            <w:pPr>
              <w:spacing w:line="320" w:lineRule="exact"/>
              <w:jc w:val="left"/>
            </w:pPr>
            <w:r>
              <w:rPr>
                <w:rFonts w:ascii="仿宋_GB2312" w:hAnsi="仿宋"/>
                <w:sz w:val="24"/>
              </w:rPr>
              <w:t>闽侯县、连江县、罗源县、闽清县、永泰县</w:t>
            </w:r>
          </w:p>
        </w:tc>
      </w:tr>
      <w:tr w14:paraId="6F9952A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0383F40">
            <w:pPr>
              <w:spacing w:line="440" w:lineRule="exact"/>
              <w:jc w:val="left"/>
            </w:pPr>
            <w:r>
              <w:rPr>
                <w:rFonts w:ascii="仿宋_GB2312" w:hAnsi="仿宋"/>
                <w:sz w:val="24"/>
              </w:rPr>
              <w:t>厦门市</w:t>
            </w:r>
          </w:p>
        </w:tc>
        <w:tc>
          <w:tcPr>
            <w:tcW w:w="7014" w:type="dxa"/>
            <w:vAlign w:val="top"/>
          </w:tcPr>
          <w:p w14:paraId="46ECDC5D">
            <w:pPr>
              <w:spacing w:line="320" w:lineRule="exact"/>
              <w:jc w:val="left"/>
            </w:pPr>
            <w:r>
              <w:rPr>
                <w:rFonts w:ascii="仿宋_GB2312" w:hAnsi="仿宋"/>
                <w:sz w:val="24"/>
              </w:rPr>
              <w:t>思明区、海沧区、湖里区、集美区、同安区、翔安区</w:t>
            </w:r>
          </w:p>
        </w:tc>
      </w:tr>
      <w:tr w14:paraId="3FDD05F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9AA6368">
            <w:pPr>
              <w:spacing w:line="440" w:lineRule="exact"/>
              <w:jc w:val="left"/>
            </w:pPr>
            <w:r>
              <w:rPr>
                <w:rFonts w:ascii="仿宋_GB2312" w:hAnsi="仿宋"/>
                <w:sz w:val="24"/>
              </w:rPr>
              <w:t>莆田市</w:t>
            </w:r>
          </w:p>
        </w:tc>
        <w:tc>
          <w:tcPr>
            <w:tcW w:w="7014" w:type="dxa"/>
            <w:vAlign w:val="top"/>
          </w:tcPr>
          <w:p w14:paraId="40FC4D3E">
            <w:pPr>
              <w:spacing w:line="320" w:lineRule="exact"/>
              <w:jc w:val="left"/>
            </w:pPr>
            <w:r>
              <w:rPr>
                <w:rFonts w:ascii="仿宋_GB2312" w:hAnsi="仿宋"/>
                <w:sz w:val="24"/>
              </w:rPr>
              <w:t>城厢区、涵江区、荔城区、秀屿区、仙游县</w:t>
            </w:r>
          </w:p>
        </w:tc>
      </w:tr>
      <w:tr w14:paraId="4AA402D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7EEE8029">
            <w:pPr>
              <w:spacing w:line="440" w:lineRule="exact"/>
              <w:jc w:val="left"/>
            </w:pPr>
            <w:r>
              <w:rPr>
                <w:rFonts w:ascii="仿宋_GB2312" w:hAnsi="仿宋"/>
                <w:sz w:val="24"/>
              </w:rPr>
              <w:t>三明市</w:t>
            </w:r>
          </w:p>
        </w:tc>
        <w:tc>
          <w:tcPr>
            <w:tcW w:w="7014" w:type="dxa"/>
            <w:vAlign w:val="top"/>
          </w:tcPr>
          <w:p w14:paraId="07F25404">
            <w:pPr>
              <w:spacing w:line="320" w:lineRule="exact"/>
              <w:jc w:val="left"/>
            </w:pPr>
            <w:r>
              <w:rPr>
                <w:rFonts w:ascii="仿宋_GB2312" w:hAnsi="仿宋"/>
                <w:sz w:val="24"/>
              </w:rPr>
              <w:t>三元区、梅列区、永安市、明溪县、清流县、宁化县、大田县、</w:t>
            </w:r>
          </w:p>
          <w:p w14:paraId="30A5B5D1">
            <w:pPr>
              <w:spacing w:line="320" w:lineRule="exact"/>
              <w:jc w:val="left"/>
            </w:pPr>
            <w:r>
              <w:rPr>
                <w:rFonts w:ascii="仿宋_GB2312" w:hAnsi="仿宋"/>
                <w:sz w:val="24"/>
              </w:rPr>
              <w:t>尤溪县、沙县、将乐县、泰宁县、建宁县</w:t>
            </w:r>
          </w:p>
        </w:tc>
      </w:tr>
      <w:tr w14:paraId="349A233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0A359B57">
            <w:pPr>
              <w:spacing w:line="440" w:lineRule="exact"/>
              <w:jc w:val="left"/>
            </w:pPr>
            <w:r>
              <w:rPr>
                <w:rFonts w:ascii="仿宋_GB2312" w:hAnsi="仿宋"/>
                <w:sz w:val="24"/>
              </w:rPr>
              <w:t>泉州市</w:t>
            </w:r>
          </w:p>
        </w:tc>
        <w:tc>
          <w:tcPr>
            <w:tcW w:w="7014" w:type="dxa"/>
            <w:vAlign w:val="top"/>
          </w:tcPr>
          <w:p w14:paraId="05B093F4">
            <w:pPr>
              <w:spacing w:line="320" w:lineRule="exact"/>
              <w:jc w:val="left"/>
            </w:pPr>
            <w:r>
              <w:rPr>
                <w:rFonts w:ascii="仿宋_GB2312" w:hAnsi="仿宋"/>
                <w:sz w:val="24"/>
              </w:rPr>
              <w:t>鲤城区、丰泽区、洛江区、泉港区、石狮市、晋江市、南安市、惠安县、安溪县、永春县、德化县、金门县</w:t>
            </w:r>
          </w:p>
        </w:tc>
      </w:tr>
      <w:tr w14:paraId="2219A45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B4B28B7">
            <w:pPr>
              <w:spacing w:line="440" w:lineRule="exact"/>
              <w:jc w:val="left"/>
            </w:pPr>
            <w:r>
              <w:rPr>
                <w:rFonts w:ascii="仿宋_GB2312" w:hAnsi="仿宋"/>
                <w:sz w:val="24"/>
              </w:rPr>
              <w:t>漳州市</w:t>
            </w:r>
          </w:p>
        </w:tc>
        <w:tc>
          <w:tcPr>
            <w:tcW w:w="7014" w:type="dxa"/>
            <w:vAlign w:val="top"/>
          </w:tcPr>
          <w:p w14:paraId="12EE6700">
            <w:pPr>
              <w:spacing w:line="320" w:lineRule="exact"/>
              <w:jc w:val="left"/>
            </w:pPr>
            <w:r>
              <w:rPr>
                <w:rFonts w:ascii="仿宋_GB2312" w:hAnsi="仿宋"/>
                <w:sz w:val="24"/>
              </w:rPr>
              <w:t>芗城区、龙文区、龙海市、云霄县、诏安县、漳浦县、长泰县、东山县、南靖县、平和县、华安县</w:t>
            </w:r>
          </w:p>
        </w:tc>
      </w:tr>
      <w:tr w14:paraId="63DD2EF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433E047C">
            <w:pPr>
              <w:spacing w:line="440" w:lineRule="exact"/>
              <w:jc w:val="left"/>
            </w:pPr>
            <w:r>
              <w:rPr>
                <w:rFonts w:ascii="仿宋_GB2312" w:hAnsi="仿宋"/>
                <w:sz w:val="24"/>
              </w:rPr>
              <w:t>南平市</w:t>
            </w:r>
          </w:p>
        </w:tc>
        <w:tc>
          <w:tcPr>
            <w:tcW w:w="7014" w:type="dxa"/>
            <w:vAlign w:val="top"/>
          </w:tcPr>
          <w:p w14:paraId="11DD8B16">
            <w:pPr>
              <w:spacing w:line="320" w:lineRule="exact"/>
              <w:jc w:val="left"/>
            </w:pPr>
            <w:r>
              <w:rPr>
                <w:rFonts w:ascii="仿宋_GB2312" w:hAnsi="仿宋"/>
                <w:sz w:val="24"/>
              </w:rPr>
              <w:t>延平区、邵武市、武夷山市、建瓯市、建阳市、顺昌县、浦城县、</w:t>
            </w:r>
          </w:p>
          <w:p w14:paraId="10DCB261">
            <w:pPr>
              <w:spacing w:line="320" w:lineRule="exact"/>
              <w:jc w:val="left"/>
            </w:pPr>
            <w:r>
              <w:rPr>
                <w:rFonts w:ascii="仿宋_GB2312" w:hAnsi="仿宋"/>
                <w:sz w:val="24"/>
              </w:rPr>
              <w:t>光泽县、松溪县、政和县</w:t>
            </w:r>
          </w:p>
        </w:tc>
      </w:tr>
      <w:tr w14:paraId="1F6C5C9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68287B0A">
            <w:pPr>
              <w:spacing w:line="440" w:lineRule="exact"/>
              <w:jc w:val="left"/>
            </w:pPr>
            <w:r>
              <w:rPr>
                <w:rFonts w:ascii="仿宋_GB2312" w:hAnsi="仿宋"/>
                <w:sz w:val="24"/>
              </w:rPr>
              <w:t>龙岩市</w:t>
            </w:r>
          </w:p>
        </w:tc>
        <w:tc>
          <w:tcPr>
            <w:tcW w:w="7014" w:type="dxa"/>
            <w:vAlign w:val="top"/>
          </w:tcPr>
          <w:p w14:paraId="4167B559">
            <w:pPr>
              <w:spacing w:line="320" w:lineRule="exact"/>
              <w:jc w:val="left"/>
            </w:pPr>
            <w:r>
              <w:rPr>
                <w:rFonts w:ascii="仿宋_GB2312" w:hAnsi="仿宋"/>
                <w:sz w:val="24"/>
              </w:rPr>
              <w:t>新罗区、漳平市、长汀县、永定县、上杭县、武平县、连城县</w:t>
            </w:r>
          </w:p>
        </w:tc>
      </w:tr>
      <w:tr w14:paraId="57669A3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39991D45">
            <w:pPr>
              <w:spacing w:line="440" w:lineRule="exact"/>
              <w:jc w:val="left"/>
            </w:pPr>
            <w:r>
              <w:rPr>
                <w:rFonts w:ascii="仿宋_GB2312" w:hAnsi="仿宋"/>
                <w:sz w:val="24"/>
              </w:rPr>
              <w:t>宁德市</w:t>
            </w:r>
          </w:p>
        </w:tc>
        <w:tc>
          <w:tcPr>
            <w:tcW w:w="7014" w:type="dxa"/>
            <w:vAlign w:val="top"/>
          </w:tcPr>
          <w:p w14:paraId="308D8ADC">
            <w:pPr>
              <w:spacing w:line="320" w:lineRule="exact"/>
              <w:jc w:val="left"/>
            </w:pPr>
            <w:r>
              <w:rPr>
                <w:rFonts w:ascii="仿宋_GB2312" w:hAnsi="仿宋"/>
                <w:sz w:val="24"/>
              </w:rPr>
              <w:t>蕉城区、福安市、福鼎市、霞浦县、古田县、屏南县、寿宁县、</w:t>
            </w:r>
          </w:p>
          <w:p w14:paraId="15C5B18F">
            <w:pPr>
              <w:spacing w:line="320" w:lineRule="exact"/>
              <w:jc w:val="left"/>
            </w:pPr>
            <w:r>
              <w:rPr>
                <w:rFonts w:ascii="仿宋_GB2312" w:hAnsi="仿宋"/>
                <w:sz w:val="24"/>
              </w:rPr>
              <w:t>周宁县、柘荣县</w:t>
            </w:r>
          </w:p>
        </w:tc>
      </w:tr>
      <w:tr w14:paraId="0AC41FA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102" w:type="dxa"/>
            <w:vAlign w:val="top"/>
          </w:tcPr>
          <w:p w14:paraId="5B0E6AD4">
            <w:pPr>
              <w:spacing w:line="440" w:lineRule="exact"/>
              <w:jc w:val="left"/>
            </w:pPr>
            <w:r>
              <w:rPr>
                <w:rFonts w:ascii="仿宋_GB2312" w:hAnsi="仿宋"/>
                <w:sz w:val="24"/>
              </w:rPr>
              <w:t>平潭综合实验区</w:t>
            </w:r>
          </w:p>
        </w:tc>
        <w:tc>
          <w:tcPr>
            <w:tcW w:w="7014" w:type="dxa"/>
            <w:vAlign w:val="top"/>
          </w:tcPr>
          <w:p w14:paraId="17704DD6">
            <w:pPr>
              <w:spacing w:line="440" w:lineRule="exact"/>
              <w:jc w:val="left"/>
            </w:pPr>
            <w:r>
              <w:rPr>
                <w:rFonts w:ascii="仿宋_GB2312" w:hAnsi="仿宋"/>
                <w:sz w:val="24"/>
              </w:rPr>
              <w:t>平潭综合实验区</w:t>
            </w:r>
          </w:p>
        </w:tc>
      </w:tr>
    </w:tbl>
    <w:p w14:paraId="71F6F468">
      <w:pPr>
        <w:ind w:firstLine="548"/>
        <w:sectPr>
          <w:headerReference r:id="rId10" w:type="first"/>
          <w:headerReference r:id="rId9" w:type="default"/>
          <w:pgSz w:w="11906" w:h="16838"/>
          <w:pgMar w:top="1588" w:right="1418" w:bottom="1418" w:left="1588" w:header="720" w:footer="720" w:gutter="0"/>
          <w:cols w:space="720" w:num="1"/>
        </w:sectPr>
      </w:pPr>
      <w:r>
        <w:rPr>
          <w:rFonts w:ascii="仿宋_GB2312" w:hAnsi="仿宋"/>
          <w:sz w:val="29"/>
        </w:rPr>
        <w:t>（四）规划年限:2011～2015年。</w:t>
      </w:r>
    </w:p>
    <w:p w14:paraId="2581ED37">
      <w:pPr>
        <w:pStyle w:val="11"/>
        <w:spacing w:before="0" w:after="0" w:line="600" w:lineRule="exact"/>
        <w:jc w:val="center"/>
      </w:pPr>
      <w:r>
        <w:rPr>
          <w:rFonts w:ascii="仿宋_GB2312" w:hAnsi="仿宋"/>
          <w:b/>
          <w:sz w:val="36"/>
          <w:szCs w:val="36"/>
        </w:rPr>
        <w:t>第二章  现状及问题</w:t>
      </w:r>
    </w:p>
    <w:p w14:paraId="46D0BF4C">
      <w:pPr>
        <w:spacing w:line="600" w:lineRule="exact"/>
        <w:ind w:firstLine="548"/>
      </w:pPr>
      <w:r>
        <w:rPr>
          <w:rFonts w:ascii="仿宋_GB2312" w:hAnsi="仿宋"/>
          <w:sz w:val="29"/>
        </w:rPr>
        <w:t>（一）福建省基本情况</w:t>
      </w:r>
    </w:p>
    <w:p w14:paraId="77714B52">
      <w:pPr>
        <w:spacing w:line="600" w:lineRule="exact"/>
        <w:ind w:firstLine="548"/>
      </w:pPr>
      <w:r>
        <w:rPr>
          <w:rFonts w:ascii="仿宋_GB2312" w:hAnsi="仿宋"/>
          <w:sz w:val="29"/>
        </w:rPr>
        <w:t>1、概况</w:t>
      </w:r>
    </w:p>
    <w:p w14:paraId="0AD59FBE">
      <w:pPr>
        <w:spacing w:line="600" w:lineRule="exact"/>
        <w:ind w:firstLine="548"/>
      </w:pPr>
      <w:r>
        <w:rPr>
          <w:rFonts w:ascii="仿宋_GB2312" w:hAnsi="仿宋"/>
          <w:sz w:val="29"/>
        </w:rPr>
        <w:t>（1）概述</w:t>
      </w:r>
    </w:p>
    <w:p w14:paraId="0C349603">
      <w:pPr>
        <w:spacing w:line="600" w:lineRule="exact"/>
        <w:ind w:firstLine="548"/>
      </w:pPr>
      <w:r>
        <w:rPr>
          <w:rFonts w:ascii="仿宋_GB2312" w:hAnsi="仿宋"/>
          <w:sz w:val="29"/>
        </w:rPr>
        <w:t>福建省位于北纬23°33′～28°20′，东经115°50′～120°40′之间，地处亚热带。背山面海，气候温和，雨量充沛，四季常青。</w:t>
      </w:r>
    </w:p>
    <w:p w14:paraId="5C5396CC">
      <w:pPr>
        <w:spacing w:line="600" w:lineRule="exact"/>
        <w:ind w:firstLine="548"/>
      </w:pPr>
      <w:r>
        <w:rPr>
          <w:rFonts w:ascii="仿宋_GB2312" w:hAnsi="仿宋"/>
          <w:sz w:val="29"/>
        </w:rPr>
        <w:t>福建地处中国东南沿海，东隔台湾海峡与台湾省相望，东北与浙江省毗邻，西北横贯武夷山脉与江西省交界，西南与广东省相连，是中国大陆与东南亚和太平洋海上距离最近的省份之一。特殊的地理位置决定了福建省过去、现在和将来都是中国与世界交流的重要窗口。</w:t>
      </w:r>
    </w:p>
    <w:p w14:paraId="212698D9">
      <w:pPr>
        <w:spacing w:line="600" w:lineRule="exact"/>
        <w:ind w:firstLine="548"/>
      </w:pPr>
      <w:r>
        <w:rPr>
          <w:rFonts w:ascii="仿宋_GB2312" w:hAnsi="仿宋"/>
          <w:sz w:val="29"/>
        </w:rPr>
        <w:t>全省土地面积为12.14万平方公里，其中山地丘陵占80%以上，有“八山一水一分田”之称。全省森林覆盖率63.1%，居全国第一，有“绿色宝库”之称。</w:t>
      </w:r>
    </w:p>
    <w:p w14:paraId="73BBB6CB">
      <w:pPr>
        <w:spacing w:line="600" w:lineRule="exact"/>
        <w:ind w:firstLine="548"/>
      </w:pPr>
      <w:r>
        <w:rPr>
          <w:rFonts w:ascii="仿宋_GB2312" w:hAnsi="仿宋"/>
          <w:sz w:val="29"/>
        </w:rPr>
        <w:t>福建省海域广阔，良港众多，海岸线长度居全国第二位。省内河水系密布，境内共有29个内河水系，663条河流，河流长度13569公里，较大河流有闽江、晋江、九龙江、汀江、赛江、木兰溪等“五江一溪。”</w:t>
      </w:r>
    </w:p>
    <w:p w14:paraId="54610834">
      <w:pPr>
        <w:spacing w:line="600" w:lineRule="exact"/>
        <w:ind w:firstLine="548"/>
      </w:pPr>
      <w:r>
        <w:rPr>
          <w:rFonts w:ascii="仿宋_GB2312" w:hAnsi="仿宋"/>
          <w:sz w:val="29"/>
        </w:rPr>
        <w:t>福建省划分为9个设区的市，1个综合实验区，43个县，14个县级市，省会设在福州市。2010年年未，全省总人口为3693万人，其中城镇人口为2108万人。</w:t>
      </w:r>
    </w:p>
    <w:p w14:paraId="02753016">
      <w:pPr>
        <w:spacing w:line="600" w:lineRule="exact"/>
        <w:ind w:firstLine="548"/>
      </w:pPr>
      <w:r>
        <w:rPr>
          <w:rFonts w:ascii="仿宋_GB2312" w:hAnsi="仿宋"/>
          <w:sz w:val="29"/>
        </w:rPr>
        <w:t>据统计，2010年全年实现地区生产总值13800亿元，比上年增长13.8％。财政总收入2020亿元，增长19.2%，其中地方级财政收入1120亿元，增长20.1%；全社会固定资产投资8270亿元，增长30%；外贸进出口总额1033亿元，增长29.7%；社会消费品零售总额5217亿元，增长18%；城镇居民入均可支配收入达21630元，增长10.5%；农民人均纯收入达7380元，增长10.5%。</w:t>
      </w:r>
    </w:p>
    <w:p w14:paraId="1E665B85">
      <w:pPr>
        <w:spacing w:line="600" w:lineRule="exact"/>
        <w:ind w:firstLine="548"/>
      </w:pPr>
      <w:r>
        <w:rPr>
          <w:rFonts w:ascii="仿宋_GB2312" w:hAnsi="仿宋"/>
          <w:sz w:val="29"/>
        </w:rPr>
        <w:t>（2）地势地貌</w:t>
      </w:r>
    </w:p>
    <w:p w14:paraId="2D850175">
      <w:pPr>
        <w:ind w:firstLine="548"/>
        <w:jc w:val="left"/>
      </w:pPr>
      <w:r>
        <w:rPr>
          <w:rFonts w:ascii="仿宋_GB2312" w:hAnsi="仿宋"/>
          <w:sz w:val="29"/>
        </w:rPr>
        <w:t>境内峰岭耸峙，丘陵连绵，河谷、盆地穿插其间，山地、丘陵占福建</w:t>
      </w:r>
    </w:p>
    <w:p w14:paraId="1CEC3FCB">
      <w:pPr>
        <w:jc w:val="left"/>
      </w:pPr>
      <w:r>
        <w:rPr>
          <w:rFonts w:ascii="仿宋_GB2312" w:hAnsi="仿宋"/>
          <w:sz w:val="29"/>
        </w:rPr>
        <w:t>省总面积的80％以上。地势总体上西北高东南低，横断面略呈马鞍形。因</w:t>
      </w:r>
    </w:p>
    <w:p w14:paraId="72012F0E">
      <w:pPr>
        <w:jc w:val="left"/>
      </w:pPr>
      <w:r>
        <w:rPr>
          <w:rFonts w:ascii="仿宋_GB2312" w:hAnsi="仿宋"/>
          <w:sz w:val="29"/>
        </w:rPr>
        <w:t>受新华夏构造的控制，在西部和中部形成北（北）东向斜贯全省的闽西大</w:t>
      </w:r>
    </w:p>
    <w:p w14:paraId="61013DD9">
      <w:pPr>
        <w:jc w:val="left"/>
      </w:pPr>
      <w:r>
        <w:rPr>
          <w:rFonts w:ascii="仿宋_GB2312" w:hAnsi="仿宋"/>
          <w:sz w:val="29"/>
        </w:rPr>
        <w:t>山带和闽中大山带，两大山带之间为互不贯通的河谷、盆地，东部沿海为</w:t>
      </w:r>
    </w:p>
    <w:p w14:paraId="003EF630">
      <w:pPr>
        <w:jc w:val="left"/>
      </w:pPr>
      <w:r>
        <w:rPr>
          <w:rFonts w:ascii="仿宋_GB2312" w:hAnsi="仿宋"/>
          <w:sz w:val="29"/>
        </w:rPr>
        <w:t>丘陵、台地和滨海平原。陆地海岸线长达3751.5 千米，以侵蚀海岸为主，堆积海岸为次，岸线十分曲折。潮间带滩涂面积约20 万公顷，底质以泥、泥沙或沙泥为主。港湾众多，自北向南有沙埕港、三都澳、罗源湾、湄洲湾、厦门港和东山湾等6大深水港湾。</w:t>
      </w:r>
    </w:p>
    <w:p w14:paraId="2F4A08E2">
      <w:pPr>
        <w:spacing w:line="600" w:lineRule="exact"/>
        <w:ind w:firstLine="580"/>
        <w:rPr>
          <w:rFonts w:ascii="仿宋_GB2312" w:hAnsi="仿宋"/>
          <w:sz w:val="29"/>
          <w:szCs w:val="29"/>
        </w:rPr>
      </w:pPr>
      <w:r>
        <w:rPr>
          <w:rFonts w:ascii="仿宋_GB2312" w:hAnsi="仿宋"/>
          <w:sz w:val="29"/>
          <w:szCs w:val="29"/>
        </w:rPr>
        <w:t>（3）</w:t>
      </w:r>
      <w:r>
        <w:rPr>
          <w:rFonts w:ascii="仿宋_GB2312" w:hAnsi="仿宋"/>
          <w:sz w:val="29"/>
        </w:rPr>
        <w:t>气候</w:t>
      </w:r>
    </w:p>
    <w:p w14:paraId="3D5B8E6D">
      <w:pPr>
        <w:spacing w:line="600" w:lineRule="exact"/>
        <w:ind w:firstLine="580"/>
      </w:pPr>
      <w:r>
        <w:rPr>
          <w:rFonts w:ascii="仿宋_GB2312" w:hAnsi="仿宋"/>
          <w:sz w:val="29"/>
          <w:szCs w:val="29"/>
        </w:rPr>
        <w:t>福建省所在区域属于亚热带湿润季风气候，有西北山脉阻挡寒风与东南海风调节，温暖湿润。2010年全年（1～12月）平均气温15.3～22℃，全省平均降水量1961.31毫米。</w:t>
      </w:r>
    </w:p>
    <w:p w14:paraId="6D9FE210">
      <w:pPr>
        <w:spacing w:line="600" w:lineRule="exact"/>
        <w:ind w:firstLine="548"/>
        <w:rPr>
          <w:rFonts w:ascii="仿宋_GB2312" w:hAnsi="仿宋"/>
          <w:sz w:val="29"/>
          <w:szCs w:val="29"/>
        </w:rPr>
      </w:pPr>
      <w:r>
        <w:rPr>
          <w:rFonts w:ascii="仿宋_GB2312" w:hAnsi="仿宋"/>
          <w:sz w:val="29"/>
        </w:rPr>
        <w:t>（4）交通运输</w:t>
      </w:r>
    </w:p>
    <w:p w14:paraId="015C7EE4">
      <w:pPr>
        <w:ind w:firstLine="580"/>
        <w:jc w:val="left"/>
      </w:pPr>
      <w:r>
        <w:rPr>
          <w:rFonts w:ascii="仿宋_GB2312" w:hAnsi="仿宋"/>
          <w:sz w:val="29"/>
          <w:szCs w:val="29"/>
        </w:rPr>
        <w:t>近年来，福建省同步推进高速铁路、高速公路、港口建设。</w:t>
      </w:r>
    </w:p>
    <w:p w14:paraId="039145A8">
      <w:pPr>
        <w:ind w:firstLine="580"/>
        <w:jc w:val="left"/>
      </w:pPr>
      <w:r>
        <w:rPr>
          <w:rFonts w:ascii="仿宋_GB2312" w:hAnsi="仿宋"/>
          <w:sz w:val="29"/>
          <w:szCs w:val="29"/>
        </w:rPr>
        <w:t>铁路和城市轨道交通：续建向莆铁路福州段、合福铁路福州段、三条铁路支线等项目，全面推进轨道交通1号线建设；推进轨道交通2号线、6号线、沿海快速铁路、沿海货运专线等项目前期工作。</w:t>
      </w:r>
    </w:p>
    <w:p w14:paraId="6070447D">
      <w:pPr>
        <w:ind w:firstLine="580"/>
        <w:jc w:val="left"/>
      </w:pPr>
      <w:r>
        <w:rPr>
          <w:rFonts w:ascii="仿宋_GB2312" w:hAnsi="仿宋"/>
          <w:sz w:val="29"/>
          <w:szCs w:val="29"/>
        </w:rPr>
        <w:t>公路：建成机场高速公路二期、平潭海峡大桥等项目；续建福泉高速公路福州段扩建工程、渔平高速公路、绕城高速公路西北段、福银高速福州南连接线、福永高速公路等项目；新开工京台线建瓯至闽侯高速公路福州段、绕城高速公路东南段、平潭环岛路一期、琅岐闽江大桥、琅岐环岛路等项目。</w:t>
      </w:r>
    </w:p>
    <w:p w14:paraId="30FFA50D">
      <w:pPr>
        <w:ind w:firstLine="580"/>
        <w:jc w:val="left"/>
      </w:pPr>
      <w:r>
        <w:rPr>
          <w:rFonts w:ascii="仿宋_GB2312" w:hAnsi="仿宋"/>
          <w:sz w:val="29"/>
          <w:szCs w:val="29"/>
        </w:rPr>
        <w:t>港口：续建福州港可门作业区4#、5#泊位，江阴港区6#、7#泊位，罗源湾港区将军帽作业区一期等项目；新开工对台客货滚装码头、罗源湾港区狮岐作业区1-4#通用泊位等项目。</w:t>
      </w:r>
    </w:p>
    <w:p w14:paraId="33836E06">
      <w:pPr>
        <w:spacing w:line="600" w:lineRule="exact"/>
        <w:ind w:firstLine="548"/>
      </w:pPr>
      <w:r>
        <w:rPr>
          <w:rFonts w:ascii="仿宋_GB2312" w:hAnsi="仿宋"/>
          <w:sz w:val="29"/>
        </w:rPr>
        <w:t>2、福建省城镇现状及其发展特征</w:t>
      </w:r>
    </w:p>
    <w:p w14:paraId="1070C07C">
      <w:pPr>
        <w:spacing w:line="600" w:lineRule="exact"/>
        <w:ind w:firstLine="548"/>
      </w:pPr>
      <w:r>
        <w:rPr>
          <w:rFonts w:ascii="仿宋_GB2312" w:hAnsi="仿宋"/>
          <w:sz w:val="29"/>
        </w:rPr>
        <w:t>（1）城镇现状特征</w:t>
      </w:r>
    </w:p>
    <w:p w14:paraId="2DC26742">
      <w:pPr>
        <w:spacing w:line="600" w:lineRule="exact"/>
        <w:ind w:firstLine="548"/>
      </w:pPr>
      <w:r>
        <w:rPr>
          <w:rFonts w:ascii="仿宋_GB2312" w:hAnsi="仿宋"/>
          <w:sz w:val="29"/>
        </w:rPr>
        <w:t>●城镇化步伐加快。全省设市城市23个（其中大城市2个，中等城市5个），综合试验区1个，县城43个，小城镇524个。2010年底城镇人口为2108万人，城镇化率57.08%。</w:t>
      </w:r>
    </w:p>
    <w:p w14:paraId="73828801">
      <w:pPr>
        <w:spacing w:line="600" w:lineRule="exact"/>
        <w:ind w:firstLine="548"/>
      </w:pPr>
      <w:r>
        <w:rPr>
          <w:rFonts w:ascii="仿宋_GB2312" w:hAnsi="仿宋"/>
          <w:sz w:val="29"/>
        </w:rPr>
        <w:t>●城镇网络体系基本形成</w:t>
      </w:r>
    </w:p>
    <w:p w14:paraId="4DA3C6AC">
      <w:pPr>
        <w:spacing w:line="600" w:lineRule="exact"/>
        <w:ind w:firstLine="548"/>
      </w:pPr>
      <w:r>
        <w:rPr>
          <w:rFonts w:ascii="仿宋_GB2312" w:hAnsi="仿宋"/>
          <w:sz w:val="29"/>
        </w:rPr>
        <w:t>●大中城市比例明显上升</w:t>
      </w:r>
    </w:p>
    <w:p w14:paraId="71434EAC">
      <w:pPr>
        <w:spacing w:line="600" w:lineRule="exact"/>
        <w:ind w:firstLine="548"/>
      </w:pPr>
      <w:r>
        <w:rPr>
          <w:rFonts w:ascii="仿宋_GB2312" w:hAnsi="仿宋"/>
          <w:sz w:val="29"/>
        </w:rPr>
        <w:t>●闽东南形成城镇密集区</w:t>
      </w:r>
    </w:p>
    <w:p w14:paraId="12023A5C">
      <w:pPr>
        <w:spacing w:line="600" w:lineRule="exact"/>
        <w:ind w:firstLine="548"/>
      </w:pPr>
      <w:r>
        <w:rPr>
          <w:rFonts w:ascii="仿宋_GB2312" w:hAnsi="仿宋"/>
          <w:sz w:val="29"/>
        </w:rPr>
        <w:t>●城镇经济在全省经济社会发展中发挥着主导作用</w:t>
      </w:r>
    </w:p>
    <w:p w14:paraId="5A7696C2">
      <w:pPr>
        <w:spacing w:line="600" w:lineRule="exact"/>
        <w:ind w:firstLine="548"/>
      </w:pPr>
      <w:r>
        <w:rPr>
          <w:rFonts w:ascii="仿宋_GB2312" w:hAnsi="仿宋"/>
          <w:sz w:val="29"/>
        </w:rPr>
        <w:t>●基础设施和公用事业建设水平逐步提高。</w:t>
      </w:r>
    </w:p>
    <w:p w14:paraId="0A70E1FF">
      <w:pPr>
        <w:spacing w:line="600" w:lineRule="exact"/>
        <w:ind w:firstLine="548"/>
      </w:pPr>
      <w:r>
        <w:rPr>
          <w:rFonts w:ascii="仿宋_GB2312" w:hAnsi="仿宋"/>
          <w:sz w:val="29"/>
        </w:rPr>
        <w:t>（2）沿江城镇与临海城镇</w:t>
      </w:r>
    </w:p>
    <w:p w14:paraId="67CF34A8">
      <w:pPr>
        <w:spacing w:line="600" w:lineRule="exact"/>
        <w:ind w:firstLine="548"/>
      </w:pPr>
      <w:r>
        <w:rPr>
          <w:rFonts w:ascii="仿宋_GB2312" w:hAnsi="仿宋"/>
          <w:sz w:val="29"/>
        </w:rPr>
        <w:t>●沿江城镇</w:t>
      </w:r>
    </w:p>
    <w:p w14:paraId="2DE3F4E3">
      <w:pPr>
        <w:spacing w:line="600" w:lineRule="exact"/>
        <w:ind w:firstLine="548"/>
      </w:pPr>
      <w:r>
        <w:rPr>
          <w:rFonts w:ascii="仿宋_GB2312" w:hAnsi="仿宋"/>
          <w:sz w:val="29"/>
        </w:rPr>
        <w:t>福建省共有57个市（县）城镇分布于13条江河流域。从沿江城镇的特点看，较大江河流域中下游城镇规模大，经济发达，辐射和集聚功能强；江河流域上游城镇规模小，经济落后，但风景旅游城市较多。</w:t>
      </w:r>
    </w:p>
    <w:p w14:paraId="032CF45E">
      <w:pPr>
        <w:spacing w:line="600" w:lineRule="exact"/>
      </w:pPr>
      <w:r>
        <w:rPr>
          <w:rFonts w:ascii="仿宋_GB2312" w:hAnsi="仿宋"/>
          <w:sz w:val="29"/>
        </w:rPr>
        <w:t xml:space="preserve">    ●临海城镇</w:t>
      </w:r>
    </w:p>
    <w:p w14:paraId="5AD625EA">
      <w:pPr>
        <w:spacing w:line="600" w:lineRule="exact"/>
        <w:ind w:firstLine="548"/>
      </w:pPr>
      <w:r>
        <w:rPr>
          <w:rFonts w:ascii="仿宋_GB2312" w:hAnsi="仿宋"/>
          <w:sz w:val="29"/>
        </w:rPr>
        <w:t>福建省现有25个重要临海城镇。其中，闽东沿海有福鼎、霞浦、宁德等3个；闽江口沿岸有罗源、连江、福州、长乐、福清、平潭等6个；莆田沿海有莆田、江口等2个；泉州港沿岸有泉州、晋江、石狮、泉港、惠安等5个；厦门港沿岸有厦门、龙海、角美、漳州等4个；漳州南部沿海有漳浦、云霄、东山、诏安等4个。在上述临海城镇中，连江、福州、长乐、福清、莆田、泉州、惠安、晋江、石狮、漳州、龙海、角美、漳浦、云霄、诏安等均为河口城市。</w:t>
      </w:r>
    </w:p>
    <w:p w14:paraId="56D9CB61">
      <w:pPr>
        <w:spacing w:line="600" w:lineRule="exact"/>
        <w:ind w:firstLine="548"/>
      </w:pPr>
      <w:r>
        <w:rPr>
          <w:rFonts w:ascii="仿宋_GB2312" w:hAnsi="仿宋"/>
          <w:sz w:val="29"/>
        </w:rPr>
        <w:t>（3）城镇发展趋势</w:t>
      </w:r>
    </w:p>
    <w:p w14:paraId="0C1C5464">
      <w:pPr>
        <w:spacing w:line="600" w:lineRule="exact"/>
        <w:ind w:firstLine="548"/>
      </w:pPr>
      <w:r>
        <w:rPr>
          <w:rFonts w:ascii="仿宋_GB2312" w:hAnsi="仿宋"/>
          <w:sz w:val="29"/>
        </w:rPr>
        <w:t>●城镇化进展明显加快，到2020年，全省城镇化水平达60%以上。</w:t>
      </w:r>
    </w:p>
    <w:p w14:paraId="4DB4D14A">
      <w:pPr>
        <w:spacing w:line="600" w:lineRule="exact"/>
        <w:ind w:firstLine="548"/>
      </w:pPr>
      <w:r>
        <w:rPr>
          <w:rFonts w:ascii="仿宋_GB2312" w:hAnsi="仿宋"/>
          <w:sz w:val="29"/>
        </w:rPr>
        <w:t>●城镇体系较为完善。大中城市人口占全省城镇总人口30%以上，逐步形成以闽江口、厦门湾、泉州港三大城市圈和沿海城市带为主导的海峡西岸城镇发展体系。</w:t>
      </w:r>
    </w:p>
    <w:p w14:paraId="6FA0FD56">
      <w:pPr>
        <w:spacing w:line="600" w:lineRule="exact"/>
        <w:ind w:firstLine="548"/>
      </w:pPr>
      <w:r>
        <w:rPr>
          <w:rFonts w:ascii="仿宋_GB2312" w:hAnsi="仿宋"/>
          <w:sz w:val="29"/>
        </w:rPr>
        <w:t>●地区中心城市发展速度将大大加快</w:t>
      </w:r>
    </w:p>
    <w:p w14:paraId="15808538">
      <w:pPr>
        <w:spacing w:line="600" w:lineRule="exact"/>
        <w:ind w:firstLine="548"/>
      </w:pPr>
      <w:r>
        <w:rPr>
          <w:rFonts w:ascii="仿宋_GB2312" w:hAnsi="仿宋"/>
          <w:sz w:val="29"/>
        </w:rPr>
        <w:t>●10-20万人口的城镇数量将大大增加</w:t>
      </w:r>
    </w:p>
    <w:p w14:paraId="63BCEFD9">
      <w:pPr>
        <w:spacing w:line="600" w:lineRule="exact"/>
        <w:ind w:firstLine="548"/>
      </w:pPr>
      <w:r>
        <w:rPr>
          <w:rFonts w:ascii="仿宋_GB2312" w:hAnsi="仿宋"/>
          <w:sz w:val="29"/>
        </w:rPr>
        <w:t>●将出现一大批人口超过5万人的县城和小城镇</w:t>
      </w:r>
    </w:p>
    <w:p w14:paraId="1B3253FE">
      <w:pPr>
        <w:spacing w:line="600" w:lineRule="exact"/>
        <w:ind w:firstLine="548"/>
      </w:pPr>
      <w:r>
        <w:rPr>
          <w:rFonts w:ascii="仿宋_GB2312" w:hAnsi="仿宋"/>
          <w:sz w:val="29"/>
        </w:rPr>
        <w:t>●沿海地区城镇发展速度将继续高于内地城镇</w:t>
      </w:r>
    </w:p>
    <w:p w14:paraId="22485BC4">
      <w:pPr>
        <w:spacing w:line="600" w:lineRule="exact"/>
        <w:ind w:firstLine="548"/>
      </w:pPr>
      <w:r>
        <w:rPr>
          <w:rFonts w:ascii="仿宋_GB2312" w:hAnsi="仿宋"/>
          <w:sz w:val="29"/>
        </w:rPr>
        <w:t>●城市在全省经济社会中的主要地位将进一步增强</w:t>
      </w:r>
    </w:p>
    <w:p w14:paraId="4E3EA684">
      <w:pPr>
        <w:spacing w:line="600" w:lineRule="exact"/>
        <w:ind w:firstLine="548"/>
      </w:pPr>
      <w:r>
        <w:rPr>
          <w:rFonts w:ascii="仿宋_GB2312" w:hAnsi="仿宋"/>
          <w:sz w:val="29"/>
        </w:rPr>
        <w:t>●城镇基础设施显著提高，城镇质量明显改善。</w:t>
      </w:r>
    </w:p>
    <w:p w14:paraId="3F6A0383">
      <w:pPr>
        <w:spacing w:line="600" w:lineRule="exact"/>
        <w:ind w:firstLine="548"/>
      </w:pPr>
      <w:r>
        <w:rPr>
          <w:rFonts w:ascii="仿宋_GB2312" w:hAnsi="仿宋"/>
          <w:sz w:val="29"/>
        </w:rPr>
        <w:t>3、能源与消费</w:t>
      </w:r>
    </w:p>
    <w:p w14:paraId="78C504B3">
      <w:pPr>
        <w:spacing w:before="0" w:after="0" w:line="301" w:lineRule="atLeast"/>
        <w:ind w:firstLine="548"/>
        <w:jc w:val="left"/>
      </w:pPr>
      <w:r>
        <w:rPr>
          <w:rFonts w:ascii="仿宋_GB2312" w:hAnsi="仿宋"/>
          <w:sz w:val="29"/>
        </w:rPr>
        <w:t>“十一五”是福建能源加快发展的时期，能源产业体系更加完善，安全保障能力明显提高，较好地满足了国民经济和社会发展需要。</w:t>
      </w:r>
    </w:p>
    <w:p w14:paraId="75AFF784">
      <w:pPr>
        <w:spacing w:before="0" w:after="0" w:line="301" w:lineRule="atLeast"/>
        <w:ind w:firstLine="548"/>
        <w:jc w:val="left"/>
      </w:pPr>
      <w:r>
        <w:rPr>
          <w:rFonts w:ascii="仿宋_GB2312" w:hAnsi="仿宋"/>
          <w:sz w:val="29"/>
        </w:rPr>
        <w:t>保障能力显著增强。2010年能源消费总量9800万吨标准煤，较2005年净增3643万吨标煤，年均增长9.7%。全省煤炭产量2300万吨，较2005年增长49%。接卸33船LNG共200.6万吨，天然气消费快速增长。电力装机实现翻番，总装机规模达到3480万千瓦，年均增长14.6%。全社会用电量1315亿千瓦时，用电最高负荷2218万千瓦，分别年均增长11.7%和13%。2009年提前实现全省500千伏大环网，福建电网迈入坚强超高压大环网新阶段。</w:t>
      </w:r>
    </w:p>
    <w:p w14:paraId="40B1FBC1">
      <w:pPr>
        <w:spacing w:before="0" w:after="0" w:line="301" w:lineRule="atLeast"/>
        <w:ind w:firstLine="548"/>
        <w:jc w:val="left"/>
      </w:pPr>
      <w:r>
        <w:rPr>
          <w:rFonts w:ascii="仿宋_GB2312" w:hAnsi="仿宋"/>
          <w:sz w:val="29"/>
        </w:rPr>
        <w:t>能源结构不断优化。可再生能源和新能源快速发展，2010年能源消费结构优化调整为煤炭57.5%、石油24.6%、水电11.9%、天然气3.4%、其他2.6%。清洁能源比重从2005年的40.2%提高至42.5%。电源结构实现多元化，2010年各类电源比例为水电31.9％、煤电54.6％、气电11.1％、风电等新能源 2.4％，清洁能源装机比重为45.4%，高于全国平均水平18.3个百分点。</w:t>
      </w:r>
    </w:p>
    <w:p w14:paraId="31CAAF5E">
      <w:pPr>
        <w:spacing w:before="0" w:after="0" w:line="301" w:lineRule="atLeast"/>
        <w:ind w:firstLine="548"/>
        <w:jc w:val="left"/>
      </w:pPr>
      <w:r>
        <w:rPr>
          <w:rFonts w:ascii="仿宋_GB2312" w:hAnsi="仿宋"/>
          <w:sz w:val="29"/>
        </w:rPr>
        <w:t>节能减排成效明显。2010年单位GDP能耗0.783吨标煤/万元，较2005年下降16.4%。60万千瓦级超临界、超超临界机组占全部火电装机的64%，结构明显优化。累计关停小火电122.75万千瓦，火电供电煤耗从2005年的350克/千瓦时，下降到2010年的327克/千瓦时；省电网综合线损下降到4%以下。至2010年全省装机30万千瓦以上的燃煤电厂已全部安装脱硫设施。</w:t>
      </w:r>
    </w:p>
    <w:p w14:paraId="283C70F2">
      <w:pPr>
        <w:spacing w:before="0" w:after="0" w:line="301" w:lineRule="atLeast"/>
        <w:ind w:firstLine="548"/>
        <w:jc w:val="left"/>
      </w:pPr>
      <w:r>
        <w:rPr>
          <w:rFonts w:ascii="仿宋_GB2312" w:hAnsi="仿宋"/>
          <w:sz w:val="29"/>
        </w:rPr>
        <w:t>能源通道持续加强。至2010年底，全省沿海港口专业化泊位中原油泊位3个，成品油及液化气泊位8个，煤炭泊位11个；沿海港口煤炭装卸能力达4605万吨。建成规模260万吨/年的LNG接收站（一期），同步配套建设福州至漳州输气干线和福州、莆田、泉州、厦门、漳州五个沿海城市天然气管网系统，干线管道总长约356公里。全省共有500千伏变电站14座，容量1955万千伏安，线路2840公里；220千伏变电站117座，容量3504万千伏安，线路9350公里。</w:t>
      </w:r>
    </w:p>
    <w:p w14:paraId="67629CC3">
      <w:pPr>
        <w:spacing w:before="0" w:after="0" w:line="301" w:lineRule="atLeast"/>
        <w:ind w:firstLine="548"/>
        <w:jc w:val="left"/>
      </w:pPr>
      <w:r>
        <w:rPr>
          <w:rFonts w:ascii="仿宋_GB2312" w:hAnsi="仿宋"/>
          <w:sz w:val="29"/>
        </w:rPr>
        <w:t>科技水平快速提升。加强煤矸石、煤泥、矿井水等资源综合利用，全省煤炭资源回收率约35%，煤矿采区回采率达到85%以上，煤矸石利用率约38%。超临界、超超临界、循环硫化床以及大规模兆瓦级风电机组等先进发电技术得到广泛应用。建成国内首条220千伏同塔六回线路、国内首基500千伏海中高塔、国内首个可移动式组合型静补以及全省首条500千伏紧凑型线路。</w:t>
      </w:r>
    </w:p>
    <w:p w14:paraId="2A8D564E">
      <w:pPr>
        <w:spacing w:before="0" w:after="0" w:line="301" w:lineRule="atLeast"/>
        <w:ind w:firstLine="548"/>
        <w:jc w:val="left"/>
      </w:pPr>
      <w:r>
        <w:rPr>
          <w:rFonts w:ascii="仿宋_GB2312" w:hAnsi="仿宋"/>
          <w:sz w:val="29"/>
        </w:rPr>
        <w:t>行业管理不断完善。通过整顿关闭小煤矿，有效推进煤炭资源整合。编制煤炭矿区总体规划，严格煤矿项目审批程序。加强煤矿技术改造，强化生产安全监管，促进煤炭行业健康发展。开展小水电清理整顿工作，防止水电无序开发。加强天然气供应与发电调度联合协调，保障LNG照付不议合同的顺利履行。加强煤炭、天然气、石油的供应、库存、应急管理，保障极端天气和高峰季节能源供应。制订并执行油气长输管道保护规章，确保能源生产安全。制订汽车加气地方标准，编制风电建设规划、LNG冷能利用规划、汽车加气规划，促进能源行业产业链延伸和健康有序发展。</w:t>
      </w:r>
    </w:p>
    <w:p w14:paraId="4ED03450">
      <w:pPr>
        <w:spacing w:before="0" w:after="0" w:line="301" w:lineRule="atLeast"/>
        <w:ind w:firstLine="548"/>
        <w:jc w:val="left"/>
      </w:pPr>
      <w:r>
        <w:rPr>
          <w:rFonts w:ascii="仿宋_GB2312" w:hAnsi="仿宋"/>
          <w:sz w:val="29"/>
        </w:rPr>
        <w:t>同时，必须清醒地看到，福建省能源发展仍存在不少困难和问题：能源供应安全存在一定风险，能源应急保障能力有待进一步加强；节能减排和应对气候变化的压力日益增大，能源发展面临环境容量的瓶颈制约；与沿海发达省份相比，人均用电量较低；电源点布局与负荷分布不协调，北电南送容量呈现扩大趋势，电网面临极大的送电压力；与省外电网联系亟待加强；电网峰谷差逐年增大，调峰运行日益困难；电力发展与资源、环境的矛盾日益突出，获得厂址、站址、线路走廊资源困难越来越大。</w:t>
      </w:r>
    </w:p>
    <w:p w14:paraId="5EA39210">
      <w:pPr>
        <w:spacing w:before="0" w:after="0" w:line="301" w:lineRule="atLeast"/>
        <w:ind w:firstLine="548"/>
        <w:jc w:val="left"/>
      </w:pPr>
      <w:r>
        <w:rPr>
          <w:rFonts w:ascii="仿宋_GB2312" w:hAnsi="仿宋"/>
          <w:sz w:val="29"/>
        </w:rPr>
        <w:t>总的来看，“十二五”期间福建省能源发展既面临难得的战略机遇，也面临不少风险挑战，必须全面认识和深刻把握国内外形势变化的特点和规律，牢牢把握新机遇，积极应对新挑战，努力开创能源科学发展新局面。</w:t>
      </w:r>
    </w:p>
    <w:p w14:paraId="7466CC4D">
      <w:pPr>
        <w:spacing w:line="600" w:lineRule="exact"/>
        <w:ind w:firstLine="548"/>
      </w:pPr>
      <w:r>
        <w:rPr>
          <w:rFonts w:ascii="仿宋_GB2312" w:hAnsi="仿宋"/>
          <w:sz w:val="29"/>
        </w:rPr>
        <w:t>（二）福建燃气消费现状</w:t>
      </w:r>
    </w:p>
    <w:p w14:paraId="3B50E377">
      <w:pPr>
        <w:ind w:firstLine="548"/>
      </w:pPr>
      <w:r>
        <w:rPr>
          <w:rFonts w:ascii="仿宋_GB2312" w:hAnsi="仿宋"/>
          <w:sz w:val="29"/>
        </w:rPr>
        <w:t>福建现有燃气供应主要包括液化石油气、人工煤气和天然气三种，其中液化石油气所占的比例最大，大多数城市的燃气配送以罐装为主。</w:t>
      </w:r>
    </w:p>
    <w:p w14:paraId="08438E0F">
      <w:pPr>
        <w:ind w:firstLine="548"/>
      </w:pPr>
      <w:r>
        <w:rPr>
          <w:rFonts w:ascii="仿宋_GB2312" w:hAnsi="仿宋"/>
          <w:sz w:val="29"/>
        </w:rPr>
        <w:t>截至2010年底全省城镇居民用户燃气普及率为97.37%，福建省设区市燃气普及率见表2-1。</w:t>
      </w:r>
    </w:p>
    <w:p w14:paraId="5318FEB1">
      <w:pPr>
        <w:ind w:firstLine="397"/>
        <w:jc w:val="center"/>
      </w:pPr>
      <w:r>
        <w:rPr>
          <w:rFonts w:ascii="仿宋_GB2312" w:hAnsi="仿宋"/>
          <w:szCs w:val="21"/>
        </w:rPr>
        <w:t>表2-1</w:t>
      </w:r>
      <w:r>
        <w:rPr>
          <w:rFonts w:ascii="仿宋_GB2312" w:hAnsi="仿宋"/>
          <w:sz w:val="29"/>
        </w:rPr>
        <w:t xml:space="preserve">  </w:t>
      </w:r>
      <w:r>
        <w:rPr>
          <w:rFonts w:ascii="仿宋_GB2312" w:hAnsi="仿宋"/>
          <w:sz w:val="24"/>
        </w:rPr>
        <w:t>福建省设区市燃气普及率表</w:t>
      </w:r>
      <w:r>
        <w:rPr>
          <w:rFonts w:ascii="仿宋_GB2312" w:hAnsi="仿宋"/>
          <w:sz w:val="29"/>
        </w:rPr>
        <w:t>（%）</w:t>
      </w:r>
    </w:p>
    <w:tbl>
      <w:tblPr>
        <w:tblStyle w:val="14"/>
        <w:tblW w:w="0" w:type="auto"/>
        <w:tblInd w:w="-42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502"/>
        <w:gridCol w:w="816"/>
        <w:gridCol w:w="816"/>
        <w:gridCol w:w="816"/>
        <w:gridCol w:w="816"/>
        <w:gridCol w:w="816"/>
        <w:gridCol w:w="816"/>
        <w:gridCol w:w="816"/>
        <w:gridCol w:w="816"/>
        <w:gridCol w:w="816"/>
        <w:gridCol w:w="816"/>
        <w:gridCol w:w="875"/>
      </w:tblGrid>
      <w:tr w14:paraId="23CAE51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702" w:type="dxa"/>
            <w:vMerge w:val="restart"/>
            <w:vAlign w:val="top"/>
          </w:tcPr>
          <w:p w14:paraId="272E9849">
            <w:r>
              <w:rPr>
                <w:rFonts w:ascii="仿宋_GB2312" w:hAnsi="仿宋"/>
                <w:sz w:val="24"/>
              </w:rPr>
              <w:t>燃气普及率</w:t>
            </w:r>
          </w:p>
        </w:tc>
        <w:tc>
          <w:tcPr>
            <w:tcW w:w="795" w:type="dxa"/>
            <w:vAlign w:val="top"/>
          </w:tcPr>
          <w:p w14:paraId="4DFED8DF">
            <w:r>
              <w:rPr>
                <w:rFonts w:ascii="仿宋_GB2312" w:hAnsi="仿宋"/>
                <w:sz w:val="24"/>
              </w:rPr>
              <w:t>福  建</w:t>
            </w:r>
          </w:p>
          <w:p w14:paraId="7754FEA2">
            <w:r>
              <w:rPr>
                <w:rFonts w:ascii="仿宋_GB2312" w:hAnsi="仿宋"/>
                <w:sz w:val="24"/>
              </w:rPr>
              <w:t>省</w:t>
            </w:r>
          </w:p>
        </w:tc>
        <w:tc>
          <w:tcPr>
            <w:tcW w:w="795" w:type="dxa"/>
            <w:vAlign w:val="top"/>
          </w:tcPr>
          <w:p w14:paraId="321A5E05">
            <w:r>
              <w:rPr>
                <w:rFonts w:ascii="仿宋_GB2312" w:hAnsi="仿宋"/>
                <w:sz w:val="24"/>
              </w:rPr>
              <w:t>福州 地  区</w:t>
            </w:r>
          </w:p>
        </w:tc>
        <w:tc>
          <w:tcPr>
            <w:tcW w:w="795" w:type="dxa"/>
            <w:vAlign w:val="top"/>
          </w:tcPr>
          <w:p w14:paraId="5692CF87">
            <w:r>
              <w:rPr>
                <w:rFonts w:ascii="仿宋_GB2312" w:hAnsi="仿宋"/>
                <w:sz w:val="24"/>
              </w:rPr>
              <w:t>厦门 地  区</w:t>
            </w:r>
          </w:p>
        </w:tc>
        <w:tc>
          <w:tcPr>
            <w:tcW w:w="794" w:type="dxa"/>
            <w:vAlign w:val="top"/>
          </w:tcPr>
          <w:p w14:paraId="0238781A">
            <w:r>
              <w:rPr>
                <w:rFonts w:ascii="仿宋_GB2312" w:hAnsi="仿宋"/>
                <w:sz w:val="24"/>
              </w:rPr>
              <w:t>莆田 地  区</w:t>
            </w:r>
          </w:p>
        </w:tc>
        <w:tc>
          <w:tcPr>
            <w:tcW w:w="794" w:type="dxa"/>
            <w:vAlign w:val="top"/>
          </w:tcPr>
          <w:p w14:paraId="1AAD67B3">
            <w:r>
              <w:rPr>
                <w:rFonts w:ascii="仿宋_GB2312" w:hAnsi="仿宋"/>
                <w:sz w:val="24"/>
              </w:rPr>
              <w:t>三明 地  区</w:t>
            </w:r>
          </w:p>
        </w:tc>
        <w:tc>
          <w:tcPr>
            <w:tcW w:w="794" w:type="dxa"/>
            <w:vAlign w:val="top"/>
          </w:tcPr>
          <w:p w14:paraId="7890D823">
            <w:r>
              <w:rPr>
                <w:rFonts w:ascii="仿宋_GB2312" w:hAnsi="仿宋"/>
                <w:sz w:val="24"/>
              </w:rPr>
              <w:t>泉州 地  区</w:t>
            </w:r>
          </w:p>
        </w:tc>
        <w:tc>
          <w:tcPr>
            <w:tcW w:w="794" w:type="dxa"/>
            <w:vAlign w:val="top"/>
          </w:tcPr>
          <w:p w14:paraId="4619B815">
            <w:r>
              <w:rPr>
                <w:rFonts w:ascii="仿宋_GB2312" w:hAnsi="仿宋"/>
                <w:sz w:val="24"/>
              </w:rPr>
              <w:t xml:space="preserve">漳州 地  区 </w:t>
            </w:r>
          </w:p>
        </w:tc>
        <w:tc>
          <w:tcPr>
            <w:tcW w:w="794" w:type="dxa"/>
            <w:vAlign w:val="top"/>
          </w:tcPr>
          <w:p w14:paraId="553D3CD6">
            <w:r>
              <w:rPr>
                <w:rFonts w:ascii="仿宋_GB2312" w:hAnsi="仿宋"/>
                <w:sz w:val="24"/>
              </w:rPr>
              <w:t>南平 地  区</w:t>
            </w:r>
          </w:p>
        </w:tc>
        <w:tc>
          <w:tcPr>
            <w:tcW w:w="794" w:type="dxa"/>
            <w:vAlign w:val="top"/>
          </w:tcPr>
          <w:p w14:paraId="059E0AAE">
            <w:r>
              <w:rPr>
                <w:rFonts w:ascii="仿宋_GB2312" w:hAnsi="仿宋"/>
                <w:sz w:val="24"/>
              </w:rPr>
              <w:t>宁德 地  区</w:t>
            </w:r>
          </w:p>
        </w:tc>
        <w:tc>
          <w:tcPr>
            <w:tcW w:w="784" w:type="dxa"/>
            <w:vAlign w:val="top"/>
          </w:tcPr>
          <w:p w14:paraId="113693BE">
            <w:r>
              <w:rPr>
                <w:rFonts w:ascii="仿宋_GB2312" w:hAnsi="仿宋"/>
                <w:sz w:val="24"/>
              </w:rPr>
              <w:t>龙岩 地  区</w:t>
            </w:r>
          </w:p>
        </w:tc>
        <w:tc>
          <w:tcPr>
            <w:tcW w:w="1130" w:type="dxa"/>
            <w:vAlign w:val="top"/>
          </w:tcPr>
          <w:p w14:paraId="5B3A8C03">
            <w:r>
              <w:rPr>
                <w:rFonts w:ascii="仿宋_GB2312" w:hAnsi="仿宋"/>
                <w:sz w:val="24"/>
              </w:rPr>
              <w:t>平潭综合实 验 区</w:t>
            </w:r>
          </w:p>
        </w:tc>
      </w:tr>
      <w:tr w14:paraId="7602C97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vMerge w:val="continue"/>
          </w:tcPr>
          <w:p w14:paraId="6D897B9D"/>
        </w:tc>
        <w:tc>
          <w:tcPr>
            <w:tcW w:w="795" w:type="dxa"/>
            <w:vAlign w:val="top"/>
          </w:tcPr>
          <w:p w14:paraId="16DF5ACD">
            <w:r>
              <w:rPr>
                <w:rFonts w:ascii="仿宋_GB2312" w:hAnsi="仿宋"/>
                <w:sz w:val="24"/>
              </w:rPr>
              <w:t>97.37</w:t>
            </w:r>
          </w:p>
        </w:tc>
        <w:tc>
          <w:tcPr>
            <w:tcW w:w="795" w:type="dxa"/>
            <w:vAlign w:val="top"/>
          </w:tcPr>
          <w:p w14:paraId="5CCE0A96">
            <w:r>
              <w:rPr>
                <w:rFonts w:ascii="仿宋_GB2312" w:hAnsi="仿宋"/>
                <w:sz w:val="24"/>
              </w:rPr>
              <w:t>99.61</w:t>
            </w:r>
          </w:p>
        </w:tc>
        <w:tc>
          <w:tcPr>
            <w:tcW w:w="795" w:type="dxa"/>
            <w:vAlign w:val="top"/>
          </w:tcPr>
          <w:p w14:paraId="21360D75">
            <w:r>
              <w:rPr>
                <w:rFonts w:ascii="仿宋_GB2312" w:hAnsi="仿宋"/>
                <w:sz w:val="24"/>
              </w:rPr>
              <w:t>100.0</w:t>
            </w:r>
          </w:p>
        </w:tc>
        <w:tc>
          <w:tcPr>
            <w:tcW w:w="794" w:type="dxa"/>
            <w:vAlign w:val="top"/>
          </w:tcPr>
          <w:p w14:paraId="45D4A66E">
            <w:r>
              <w:rPr>
                <w:rFonts w:ascii="仿宋_GB2312" w:hAnsi="仿宋"/>
                <w:sz w:val="24"/>
              </w:rPr>
              <w:t>97.99</w:t>
            </w:r>
          </w:p>
        </w:tc>
        <w:tc>
          <w:tcPr>
            <w:tcW w:w="794" w:type="dxa"/>
            <w:vAlign w:val="top"/>
          </w:tcPr>
          <w:p w14:paraId="2103FA51">
            <w:r>
              <w:rPr>
                <w:rFonts w:ascii="仿宋_GB2312" w:hAnsi="仿宋"/>
                <w:sz w:val="24"/>
              </w:rPr>
              <w:t>96.99</w:t>
            </w:r>
          </w:p>
        </w:tc>
        <w:tc>
          <w:tcPr>
            <w:tcW w:w="794" w:type="dxa"/>
            <w:vAlign w:val="top"/>
          </w:tcPr>
          <w:p w14:paraId="7A72EB6D">
            <w:r>
              <w:rPr>
                <w:rFonts w:ascii="仿宋_GB2312" w:hAnsi="仿宋"/>
                <w:sz w:val="24"/>
              </w:rPr>
              <w:t>99.11</w:t>
            </w:r>
          </w:p>
        </w:tc>
        <w:tc>
          <w:tcPr>
            <w:tcW w:w="794" w:type="dxa"/>
            <w:vAlign w:val="top"/>
          </w:tcPr>
          <w:p w14:paraId="60373B59">
            <w:r>
              <w:rPr>
                <w:rFonts w:ascii="仿宋_GB2312" w:hAnsi="仿宋"/>
                <w:sz w:val="24"/>
              </w:rPr>
              <w:t>98.12</w:t>
            </w:r>
          </w:p>
        </w:tc>
        <w:tc>
          <w:tcPr>
            <w:tcW w:w="794" w:type="dxa"/>
            <w:vAlign w:val="top"/>
          </w:tcPr>
          <w:p w14:paraId="3B89912A">
            <w:r>
              <w:rPr>
                <w:rFonts w:ascii="仿宋_GB2312" w:hAnsi="仿宋"/>
                <w:sz w:val="24"/>
              </w:rPr>
              <w:t>98.59</w:t>
            </w:r>
          </w:p>
        </w:tc>
        <w:tc>
          <w:tcPr>
            <w:tcW w:w="794" w:type="dxa"/>
            <w:vAlign w:val="top"/>
          </w:tcPr>
          <w:p w14:paraId="0121C1D8">
            <w:r>
              <w:rPr>
                <w:rFonts w:ascii="仿宋_GB2312" w:hAnsi="仿宋"/>
                <w:sz w:val="24"/>
              </w:rPr>
              <w:t>98.83</w:t>
            </w:r>
          </w:p>
        </w:tc>
        <w:tc>
          <w:tcPr>
            <w:tcW w:w="784" w:type="dxa"/>
            <w:vAlign w:val="top"/>
          </w:tcPr>
          <w:p w14:paraId="44504726">
            <w:r>
              <w:rPr>
                <w:rFonts w:ascii="仿宋_GB2312" w:hAnsi="仿宋"/>
                <w:sz w:val="24"/>
              </w:rPr>
              <w:t>98.66</w:t>
            </w:r>
          </w:p>
        </w:tc>
        <w:tc>
          <w:tcPr>
            <w:tcW w:w="1130" w:type="dxa"/>
            <w:vAlign w:val="top"/>
          </w:tcPr>
          <w:p w14:paraId="6A470AEA">
            <w:r>
              <w:rPr>
                <w:rFonts w:ascii="仿宋_GB2312" w:hAnsi="仿宋"/>
                <w:sz w:val="24"/>
              </w:rPr>
              <w:t>37.14</w:t>
            </w:r>
          </w:p>
        </w:tc>
      </w:tr>
    </w:tbl>
    <w:p w14:paraId="07EAD4C6">
      <w:pPr>
        <w:ind w:firstLine="548"/>
        <w:rPr>
          <w:rFonts w:ascii="仿宋_GB2312" w:hAnsi="仿宋"/>
          <w:sz w:val="29"/>
        </w:rPr>
      </w:pPr>
    </w:p>
    <w:p w14:paraId="4F3D99AC">
      <w:pPr>
        <w:ind w:firstLine="548"/>
      </w:pPr>
      <w:r>
        <w:rPr>
          <w:rFonts w:ascii="仿宋_GB2312" w:hAnsi="仿宋"/>
          <w:sz w:val="29"/>
        </w:rPr>
        <w:t>2010年度，沿海的福州、莆田、泉州、厦门、漳州五个设区市共有管道天然气用户60万多户，日总供管道天然气约58.3万立方米。</w:t>
      </w:r>
    </w:p>
    <w:p w14:paraId="22869B14">
      <w:pPr>
        <w:spacing w:line="600" w:lineRule="exact"/>
        <w:ind w:firstLine="548"/>
      </w:pPr>
      <w:r>
        <w:rPr>
          <w:rFonts w:ascii="仿宋_GB2312" w:hAnsi="仿宋"/>
          <w:sz w:val="29"/>
        </w:rPr>
        <w:t>1、输气设施现状</w:t>
      </w:r>
    </w:p>
    <w:p w14:paraId="03E564D3">
      <w:pPr>
        <w:spacing w:line="600" w:lineRule="exact"/>
        <w:ind w:firstLine="548"/>
      </w:pPr>
      <w:r>
        <w:rPr>
          <w:rFonts w:ascii="仿宋_GB2312" w:hAnsi="仿宋"/>
          <w:sz w:val="29"/>
        </w:rPr>
        <w:t>福建LNG项目位于福建湄州湾北岸蒲田秀屿港区，包括LNG接受终端和总长度约356公里的输气干线，输气管线的设计压力为7.5MPa，干线管径为φ406.4～φ813mm.一期工程在秀屿港配套建设了一座可停泊8～16.5万立方米、远期兼顾21.5万立方米LNG船的泊位和工作船码头，345.5米长的栈桥，2个16万立方米的LNG储罐和气化设施，建设规模为260万吨/年。一期工程于2005年4月15日开工，2008年4月完工。一期续建工程自2009年5月19日至2011年6月8日，累计进口成套设备91批，总货值5494.4万美元，建设3#、4#LNG储罐，建成后可新增储存容量32万立方米，。目前，一期续建工程也已顺利完工并转入试运行阶段。预计2012年进入稳产期。一期续建工程完成后，秀屿LNG接受终端可满足城市在高峰用气日用气量的条件下连续供应约38天。可作为能源储备基地的一部分。接收站工程建设规模最终达到500万吨/年。</w:t>
      </w:r>
    </w:p>
    <w:p w14:paraId="205A4CBC">
      <w:pPr>
        <w:ind w:firstLine="548"/>
      </w:pPr>
      <w:r>
        <w:rPr>
          <w:rFonts w:ascii="仿宋_GB2312" w:hAnsi="仿宋"/>
          <w:sz w:val="29"/>
        </w:rPr>
        <w:t xml:space="preserve">福建LNG一期项目直供用户为莆田燃气电厂、晋江燃气电厂和厦门燃气电厂（10台350MW机组），年合同用气量约202万吨，占全年可供气量的80%；主要城市管道用户为福州、莆田、泉州、厦门、漳州等五个设区城市及福清、晋江和惠安等3个县（市），年合同用气量约51.45万吨，占全年可供气量的20%。建成包括秀屿首站、惠安、泉州、晋江、翔安、厦门、漳州末站、莆田、宏路、福州末站、晋江电厂末站和厦门电厂末站等12个场站， </w:t>
      </w:r>
    </w:p>
    <w:p w14:paraId="4AFAB30B">
      <w:pPr>
        <w:ind w:firstLine="548"/>
      </w:pPr>
      <w:r>
        <w:rPr>
          <w:rFonts w:ascii="仿宋_GB2312" w:hAnsi="仿宋"/>
          <w:sz w:val="29"/>
        </w:rPr>
        <w:t>2、液化石油气储存基地</w:t>
      </w:r>
    </w:p>
    <w:p w14:paraId="5B1C2D91">
      <w:pPr>
        <w:ind w:firstLine="548"/>
      </w:pPr>
      <w:r>
        <w:rPr>
          <w:rFonts w:ascii="仿宋_GB2312" w:hAnsi="仿宋"/>
          <w:sz w:val="29"/>
        </w:rPr>
        <w:t>福建省现有液化石油气储存基地总的储存能力见表2-2。</w:t>
      </w:r>
    </w:p>
    <w:p w14:paraId="3DE7CDB3">
      <w:pPr>
        <w:ind w:firstLine="548"/>
      </w:pPr>
      <w:r>
        <w:rPr>
          <w:rFonts w:ascii="仿宋_GB2312" w:hAnsi="仿宋"/>
          <w:sz w:val="29"/>
        </w:rPr>
        <w:t>福建省2010年液化石油气总购气量为458215吨，总储存能力为33082吨，计算周转天数为26天，液化石油气总用气人口为1020万人，占燃气总气化人口的77.78%。</w:t>
      </w:r>
    </w:p>
    <w:p w14:paraId="5DAD7AD0">
      <w:pPr>
        <w:jc w:val="center"/>
      </w:pPr>
      <w:r>
        <w:rPr>
          <w:rFonts w:ascii="仿宋_GB2312" w:hAnsi="仿宋"/>
          <w:sz w:val="29"/>
        </w:rPr>
        <w:t>表2-2 现有液化石油气储存基地储存能力表（单位：吨）</w:t>
      </w:r>
    </w:p>
    <w:tbl>
      <w:tblPr>
        <w:tblStyle w:val="14"/>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1"/>
        <w:gridCol w:w="1257"/>
        <w:gridCol w:w="6757"/>
      </w:tblGrid>
      <w:tr w14:paraId="52A75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0B209E4C">
            <w:pPr>
              <w:jc w:val="center"/>
            </w:pPr>
            <w:r>
              <w:rPr>
                <w:rFonts w:ascii="仿宋_GB2312" w:hAnsi="仿宋"/>
                <w:szCs w:val="21"/>
              </w:rPr>
              <w:t>地区</w:t>
            </w:r>
          </w:p>
        </w:tc>
        <w:tc>
          <w:tcPr>
            <w:tcW w:w="1286" w:type="dxa"/>
            <w:vAlign w:val="center"/>
          </w:tcPr>
          <w:p w14:paraId="7FEA02B6">
            <w:pPr>
              <w:jc w:val="center"/>
            </w:pPr>
            <w:r>
              <w:rPr>
                <w:rFonts w:ascii="仿宋_GB2312" w:hAnsi="仿宋"/>
                <w:szCs w:val="21"/>
              </w:rPr>
              <w:t>储气规模（吨）</w:t>
            </w:r>
          </w:p>
        </w:tc>
        <w:tc>
          <w:tcPr>
            <w:tcW w:w="7139" w:type="dxa"/>
            <w:vAlign w:val="center"/>
          </w:tcPr>
          <w:p w14:paraId="504921CC">
            <w:pPr>
              <w:jc w:val="center"/>
            </w:pPr>
            <w:r>
              <w:rPr>
                <w:rFonts w:ascii="仿宋_GB2312" w:hAnsi="仿宋"/>
                <w:szCs w:val="21"/>
              </w:rPr>
              <w:t>备注</w:t>
            </w:r>
          </w:p>
        </w:tc>
      </w:tr>
      <w:tr w14:paraId="7482A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0824CD69">
            <w:pPr>
              <w:jc w:val="center"/>
            </w:pPr>
            <w:r>
              <w:rPr>
                <w:rFonts w:ascii="仿宋_GB2312" w:hAnsi="仿宋"/>
                <w:szCs w:val="21"/>
              </w:rPr>
              <w:t>福州</w:t>
            </w:r>
          </w:p>
        </w:tc>
        <w:tc>
          <w:tcPr>
            <w:tcW w:w="1286" w:type="dxa"/>
            <w:vAlign w:val="center"/>
          </w:tcPr>
          <w:p w14:paraId="0F8C1DF9">
            <w:pPr>
              <w:jc w:val="center"/>
            </w:pPr>
            <w:r>
              <w:rPr>
                <w:rFonts w:ascii="仿宋_GB2312" w:hAnsi="仿宋"/>
                <w:szCs w:val="21"/>
              </w:rPr>
              <w:t>7186</w:t>
            </w:r>
          </w:p>
        </w:tc>
        <w:tc>
          <w:tcPr>
            <w:tcW w:w="7139" w:type="dxa"/>
            <w:vAlign w:val="center"/>
          </w:tcPr>
          <w:p w14:paraId="5DCD5578">
            <w:r>
              <w:rPr>
                <w:rFonts w:ascii="仿宋_GB2312" w:hAnsi="仿宋"/>
                <w:szCs w:val="21"/>
              </w:rPr>
              <w:t>其中福州市5990 、福清市</w:t>
            </w:r>
            <w:r>
              <w:rPr>
                <w:rFonts w:ascii="仿宋_GB2312" w:hAnsi="仿宋"/>
                <w:szCs w:val="21"/>
              </w:rPr>
              <w:tab/>
            </w:r>
            <w:r>
              <w:rPr>
                <w:rFonts w:ascii="仿宋_GB2312" w:hAnsi="仿宋"/>
                <w:szCs w:val="21"/>
              </w:rPr>
              <w:t>206、长乐市200 、闽侯县120 、永泰县120、闽清县210、连江县180、罗源县160。</w:t>
            </w:r>
          </w:p>
        </w:tc>
      </w:tr>
      <w:tr w14:paraId="42F0E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3F48167E">
            <w:pPr>
              <w:jc w:val="center"/>
            </w:pPr>
            <w:r>
              <w:rPr>
                <w:rFonts w:ascii="仿宋_GB2312" w:hAnsi="仿宋"/>
                <w:szCs w:val="21"/>
              </w:rPr>
              <w:t>厦门</w:t>
            </w:r>
          </w:p>
        </w:tc>
        <w:tc>
          <w:tcPr>
            <w:tcW w:w="1286" w:type="dxa"/>
            <w:vAlign w:val="center"/>
          </w:tcPr>
          <w:p w14:paraId="171EE193">
            <w:pPr>
              <w:jc w:val="center"/>
            </w:pPr>
            <w:r>
              <w:rPr>
                <w:rFonts w:ascii="仿宋_GB2312" w:hAnsi="仿宋"/>
                <w:szCs w:val="21"/>
              </w:rPr>
              <w:t>3000</w:t>
            </w:r>
          </w:p>
        </w:tc>
        <w:tc>
          <w:tcPr>
            <w:tcW w:w="7139" w:type="dxa"/>
            <w:vAlign w:val="center"/>
          </w:tcPr>
          <w:p w14:paraId="0E0587DA"/>
        </w:tc>
      </w:tr>
      <w:tr w14:paraId="019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01DCEEF5">
            <w:pPr>
              <w:jc w:val="center"/>
            </w:pPr>
            <w:r>
              <w:rPr>
                <w:rFonts w:ascii="仿宋_GB2312" w:hAnsi="仿宋"/>
                <w:szCs w:val="21"/>
              </w:rPr>
              <w:t>泉州</w:t>
            </w:r>
          </w:p>
        </w:tc>
        <w:tc>
          <w:tcPr>
            <w:tcW w:w="1286" w:type="dxa"/>
            <w:vAlign w:val="center"/>
          </w:tcPr>
          <w:p w14:paraId="57EA2E2B">
            <w:pPr>
              <w:jc w:val="center"/>
            </w:pPr>
            <w:r>
              <w:rPr>
                <w:rFonts w:ascii="仿宋_GB2312" w:hAnsi="仿宋"/>
                <w:szCs w:val="21"/>
              </w:rPr>
              <w:t>4459</w:t>
            </w:r>
          </w:p>
        </w:tc>
        <w:tc>
          <w:tcPr>
            <w:tcW w:w="7139" w:type="dxa"/>
            <w:vAlign w:val="center"/>
          </w:tcPr>
          <w:p w14:paraId="0EC01A76">
            <w:r>
              <w:rPr>
                <w:rFonts w:ascii="仿宋_GB2312" w:hAnsi="仿宋"/>
                <w:szCs w:val="21"/>
              </w:rPr>
              <w:t>其中泉州市2451 、石狮市300、晋江市200、南安市550、安溪县300、永春县285、德化县100、惠安县273。</w:t>
            </w:r>
          </w:p>
        </w:tc>
      </w:tr>
      <w:tr w14:paraId="49DC4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5DECD2EB">
            <w:pPr>
              <w:jc w:val="center"/>
            </w:pPr>
            <w:r>
              <w:rPr>
                <w:rFonts w:ascii="仿宋_GB2312" w:hAnsi="仿宋"/>
                <w:szCs w:val="21"/>
              </w:rPr>
              <w:t>漳州</w:t>
            </w:r>
          </w:p>
        </w:tc>
        <w:tc>
          <w:tcPr>
            <w:tcW w:w="1286" w:type="dxa"/>
            <w:vAlign w:val="center"/>
          </w:tcPr>
          <w:p w14:paraId="0E649DF7">
            <w:pPr>
              <w:jc w:val="center"/>
            </w:pPr>
            <w:r>
              <w:rPr>
                <w:rFonts w:ascii="仿宋_GB2312" w:hAnsi="仿宋"/>
                <w:szCs w:val="21"/>
              </w:rPr>
              <w:t>4225</w:t>
            </w:r>
          </w:p>
        </w:tc>
        <w:tc>
          <w:tcPr>
            <w:tcW w:w="7139" w:type="dxa"/>
            <w:vAlign w:val="center"/>
          </w:tcPr>
          <w:p w14:paraId="4EA18954">
            <w:r>
              <w:rPr>
                <w:rFonts w:ascii="仿宋_GB2312" w:hAnsi="仿宋"/>
                <w:szCs w:val="21"/>
              </w:rPr>
              <w:t>其中漳州市500、龙海市500、平和县100、南靖县150、漳浦县300、诏安县200、长泰县100、云霄县200、华安县25、东山县2150。</w:t>
            </w:r>
          </w:p>
        </w:tc>
      </w:tr>
      <w:tr w14:paraId="59CC4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36E83321">
            <w:pPr>
              <w:jc w:val="center"/>
            </w:pPr>
            <w:r>
              <w:rPr>
                <w:rFonts w:ascii="仿宋_GB2312" w:hAnsi="仿宋"/>
                <w:szCs w:val="21"/>
              </w:rPr>
              <w:t>莆田</w:t>
            </w:r>
          </w:p>
        </w:tc>
        <w:tc>
          <w:tcPr>
            <w:tcW w:w="1286" w:type="dxa"/>
            <w:vAlign w:val="center"/>
          </w:tcPr>
          <w:p w14:paraId="73E896E2">
            <w:pPr>
              <w:jc w:val="center"/>
            </w:pPr>
            <w:r>
              <w:rPr>
                <w:rFonts w:ascii="仿宋_GB2312" w:hAnsi="仿宋"/>
                <w:szCs w:val="21"/>
              </w:rPr>
              <w:t>815</w:t>
            </w:r>
          </w:p>
        </w:tc>
        <w:tc>
          <w:tcPr>
            <w:tcW w:w="7139" w:type="dxa"/>
            <w:vAlign w:val="center"/>
          </w:tcPr>
          <w:p w14:paraId="69C95C8D">
            <w:r>
              <w:rPr>
                <w:rFonts w:ascii="仿宋_GB2312" w:hAnsi="仿宋"/>
                <w:szCs w:val="21"/>
              </w:rPr>
              <w:t>其中莆田市735、仙游县80。</w:t>
            </w:r>
          </w:p>
        </w:tc>
      </w:tr>
      <w:tr w14:paraId="3E52D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58F7EB0E">
            <w:pPr>
              <w:jc w:val="center"/>
            </w:pPr>
            <w:r>
              <w:rPr>
                <w:rFonts w:ascii="仿宋_GB2312" w:hAnsi="仿宋"/>
                <w:szCs w:val="21"/>
              </w:rPr>
              <w:t>三明</w:t>
            </w:r>
          </w:p>
        </w:tc>
        <w:tc>
          <w:tcPr>
            <w:tcW w:w="1286" w:type="dxa"/>
            <w:vAlign w:val="center"/>
          </w:tcPr>
          <w:p w14:paraId="3471CEF7">
            <w:pPr>
              <w:jc w:val="center"/>
            </w:pPr>
            <w:r>
              <w:rPr>
                <w:rFonts w:ascii="仿宋_GB2312" w:hAnsi="仿宋"/>
                <w:szCs w:val="21"/>
              </w:rPr>
              <w:t>5441</w:t>
            </w:r>
          </w:p>
        </w:tc>
        <w:tc>
          <w:tcPr>
            <w:tcW w:w="7139" w:type="dxa"/>
            <w:vAlign w:val="center"/>
          </w:tcPr>
          <w:p w14:paraId="463F2F54">
            <w:r>
              <w:rPr>
                <w:rFonts w:ascii="仿宋_GB2312" w:hAnsi="仿宋"/>
                <w:szCs w:val="21"/>
              </w:rPr>
              <w:t>其中三明市325、永安市3621、大田县175、尤溪县400、沙县252、将乐县70、宁化县374、清流县35、明溪县85、建宁县82、泰宁县22。</w:t>
            </w:r>
          </w:p>
        </w:tc>
      </w:tr>
      <w:tr w14:paraId="4D4F3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23472B3B">
            <w:pPr>
              <w:jc w:val="center"/>
            </w:pPr>
            <w:r>
              <w:rPr>
                <w:rFonts w:ascii="仿宋_GB2312" w:hAnsi="仿宋"/>
                <w:szCs w:val="21"/>
              </w:rPr>
              <w:t>南平</w:t>
            </w:r>
          </w:p>
        </w:tc>
        <w:tc>
          <w:tcPr>
            <w:tcW w:w="1286" w:type="dxa"/>
            <w:vAlign w:val="center"/>
          </w:tcPr>
          <w:p w14:paraId="3A58A99D">
            <w:pPr>
              <w:jc w:val="center"/>
            </w:pPr>
            <w:r>
              <w:rPr>
                <w:rFonts w:ascii="仿宋_GB2312" w:hAnsi="仿宋"/>
                <w:szCs w:val="21"/>
              </w:rPr>
              <w:t>3497</w:t>
            </w:r>
          </w:p>
        </w:tc>
        <w:tc>
          <w:tcPr>
            <w:tcW w:w="7139" w:type="dxa"/>
            <w:vAlign w:val="center"/>
          </w:tcPr>
          <w:p w14:paraId="1F9AE27D">
            <w:r>
              <w:rPr>
                <w:rFonts w:ascii="仿宋_GB2312" w:hAnsi="仿宋"/>
                <w:szCs w:val="21"/>
              </w:rPr>
              <w:t>其中南平市400、邵武市1160、建阳市650、武夷山市250、建阳市750、建瓯市310、浦城县125、政和县100、顺昌县250 、光泽县32、松溪县220。</w:t>
            </w:r>
          </w:p>
        </w:tc>
      </w:tr>
      <w:tr w14:paraId="587F1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37B654A5">
            <w:pPr>
              <w:jc w:val="center"/>
            </w:pPr>
            <w:r>
              <w:rPr>
                <w:rFonts w:ascii="仿宋_GB2312" w:hAnsi="仿宋"/>
                <w:szCs w:val="21"/>
              </w:rPr>
              <w:t>龙岩</w:t>
            </w:r>
          </w:p>
        </w:tc>
        <w:tc>
          <w:tcPr>
            <w:tcW w:w="1286" w:type="dxa"/>
            <w:vAlign w:val="center"/>
          </w:tcPr>
          <w:p w14:paraId="5A4DB3FC">
            <w:pPr>
              <w:jc w:val="center"/>
            </w:pPr>
            <w:r>
              <w:rPr>
                <w:rFonts w:ascii="仿宋_GB2312" w:hAnsi="仿宋"/>
                <w:szCs w:val="21"/>
              </w:rPr>
              <w:t>1829</w:t>
            </w:r>
          </w:p>
        </w:tc>
        <w:tc>
          <w:tcPr>
            <w:tcW w:w="7139" w:type="dxa"/>
            <w:vAlign w:val="center"/>
          </w:tcPr>
          <w:p w14:paraId="7D31E7FE">
            <w:r>
              <w:rPr>
                <w:rFonts w:ascii="仿宋_GB2312" w:hAnsi="仿宋"/>
                <w:szCs w:val="21"/>
              </w:rPr>
              <w:t>其中龙岩市954 、漳平市50、永定县100、上杭县125、武平县50、连城县250、长汀县300。</w:t>
            </w:r>
          </w:p>
        </w:tc>
      </w:tr>
      <w:tr w14:paraId="7E574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153609CF">
            <w:pPr>
              <w:jc w:val="center"/>
            </w:pPr>
            <w:r>
              <w:rPr>
                <w:rFonts w:ascii="仿宋_GB2312" w:hAnsi="仿宋"/>
                <w:szCs w:val="21"/>
              </w:rPr>
              <w:t>宁德</w:t>
            </w:r>
          </w:p>
        </w:tc>
        <w:tc>
          <w:tcPr>
            <w:tcW w:w="1286" w:type="dxa"/>
            <w:vAlign w:val="center"/>
          </w:tcPr>
          <w:p w14:paraId="7B4BAC5F">
            <w:pPr>
              <w:jc w:val="center"/>
            </w:pPr>
            <w:r>
              <w:rPr>
                <w:rFonts w:ascii="仿宋_GB2312" w:hAnsi="仿宋"/>
                <w:szCs w:val="21"/>
              </w:rPr>
              <w:t>2381</w:t>
            </w:r>
          </w:p>
        </w:tc>
        <w:tc>
          <w:tcPr>
            <w:tcW w:w="7139" w:type="dxa"/>
            <w:vAlign w:val="center"/>
          </w:tcPr>
          <w:p w14:paraId="34B394D5">
            <w:r>
              <w:rPr>
                <w:rFonts w:ascii="仿宋_GB2312" w:hAnsi="仿宋"/>
                <w:szCs w:val="21"/>
              </w:rPr>
              <w:t>其中宁德市270 、福安市1175、福鼎市360、霞浦县200、周宁县50、寿宁县100、屏南县55、古田县122、柘荣县49。</w:t>
            </w:r>
          </w:p>
        </w:tc>
      </w:tr>
      <w:tr w14:paraId="08B03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4DAB5A76">
            <w:pPr>
              <w:jc w:val="center"/>
            </w:pPr>
            <w:r>
              <w:rPr>
                <w:rFonts w:ascii="仿宋_GB2312" w:hAnsi="仿宋"/>
                <w:szCs w:val="21"/>
              </w:rPr>
              <w:t>平潭综合</w:t>
            </w:r>
          </w:p>
          <w:p w14:paraId="5FE7D8A8">
            <w:pPr>
              <w:jc w:val="center"/>
            </w:pPr>
            <w:r>
              <w:rPr>
                <w:rFonts w:ascii="仿宋_GB2312" w:hAnsi="仿宋"/>
                <w:szCs w:val="21"/>
              </w:rPr>
              <w:t>实验区</w:t>
            </w:r>
          </w:p>
        </w:tc>
        <w:tc>
          <w:tcPr>
            <w:tcW w:w="1286" w:type="dxa"/>
            <w:vAlign w:val="center"/>
          </w:tcPr>
          <w:p w14:paraId="12A0C11F">
            <w:pPr>
              <w:jc w:val="center"/>
            </w:pPr>
            <w:r>
              <w:rPr>
                <w:rFonts w:ascii="仿宋_GB2312" w:hAnsi="仿宋"/>
                <w:szCs w:val="21"/>
              </w:rPr>
              <w:t>249</w:t>
            </w:r>
          </w:p>
        </w:tc>
        <w:tc>
          <w:tcPr>
            <w:tcW w:w="7139" w:type="dxa"/>
            <w:vAlign w:val="center"/>
          </w:tcPr>
          <w:p w14:paraId="128934DE"/>
        </w:tc>
      </w:tr>
      <w:tr w14:paraId="2F825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3" w:type="dxa"/>
            <w:vAlign w:val="center"/>
          </w:tcPr>
          <w:p w14:paraId="148D9C74">
            <w:pPr>
              <w:jc w:val="center"/>
            </w:pPr>
            <w:r>
              <w:rPr>
                <w:rFonts w:ascii="仿宋_GB2312" w:hAnsi="仿宋"/>
                <w:szCs w:val="21"/>
              </w:rPr>
              <w:t>总计</w:t>
            </w:r>
          </w:p>
        </w:tc>
        <w:tc>
          <w:tcPr>
            <w:tcW w:w="1286" w:type="dxa"/>
            <w:vAlign w:val="center"/>
          </w:tcPr>
          <w:p w14:paraId="0180F8D8">
            <w:pPr>
              <w:jc w:val="center"/>
            </w:pPr>
            <w:r>
              <w:rPr>
                <w:rFonts w:ascii="仿宋_GB2312" w:hAnsi="仿宋"/>
                <w:szCs w:val="21"/>
              </w:rPr>
              <w:t>33082</w:t>
            </w:r>
          </w:p>
        </w:tc>
        <w:tc>
          <w:tcPr>
            <w:tcW w:w="7139" w:type="dxa"/>
            <w:vAlign w:val="center"/>
          </w:tcPr>
          <w:p w14:paraId="346DE3FF"/>
        </w:tc>
      </w:tr>
    </w:tbl>
    <w:p w14:paraId="39439CF5">
      <w:pPr>
        <w:ind w:firstLine="548"/>
        <w:rPr>
          <w:rFonts w:ascii="仿宋_GB2312" w:hAnsi="仿宋"/>
          <w:color w:val="008000"/>
          <w:sz w:val="29"/>
        </w:rPr>
      </w:pPr>
    </w:p>
    <w:p w14:paraId="6E03C824">
      <w:pPr>
        <w:ind w:firstLine="548"/>
      </w:pPr>
      <w:r>
        <w:rPr>
          <w:rFonts w:ascii="仿宋_GB2312" w:hAnsi="仿宋"/>
          <w:sz w:val="29"/>
        </w:rPr>
        <w:t>3、LNG卫星站设施。目前，福建省内LNG一期管网不能到达的部分地区已建成LNG气化站（卫星站）35座，总储存规模109万立方米。</w:t>
      </w:r>
    </w:p>
    <w:p w14:paraId="4F26C838">
      <w:pPr>
        <w:spacing w:line="600" w:lineRule="exact"/>
        <w:ind w:firstLine="548"/>
      </w:pPr>
      <w:r>
        <w:rPr>
          <w:rFonts w:ascii="仿宋_GB2312" w:hAnsi="仿宋"/>
          <w:sz w:val="29"/>
        </w:rPr>
        <w:t>4、天然气和液化石油气汽车加气站。</w:t>
      </w:r>
      <w:bookmarkStart w:id="0" w:name="_GoBack"/>
      <w:bookmarkEnd w:id="0"/>
      <w:r>
        <w:rPr>
          <w:rFonts w:hint="eastAsia" w:ascii="仿宋_GB2312" w:hAnsi="仿宋"/>
          <w:sz w:val="29"/>
          <w:lang w:eastAsia="zh-CN"/>
        </w:rPr>
        <w:t>截至</w:t>
      </w:r>
      <w:r>
        <w:rPr>
          <w:rFonts w:ascii="仿宋_GB2312" w:hAnsi="仿宋"/>
          <w:sz w:val="29"/>
        </w:rPr>
        <w:t>2010年底，建成的天然气、石油液化气汽车加气站共18座，建设地点分布情况见表2-3。</w:t>
      </w:r>
    </w:p>
    <w:p w14:paraId="19A75B92">
      <w:pPr>
        <w:spacing w:line="600" w:lineRule="exact"/>
        <w:ind w:firstLine="548"/>
        <w:rPr>
          <w:rFonts w:ascii="仿宋_GB2312" w:hAnsi="仿宋"/>
          <w:sz w:val="29"/>
        </w:rPr>
      </w:pPr>
    </w:p>
    <w:p w14:paraId="492614FE">
      <w:pPr>
        <w:spacing w:line="600" w:lineRule="exact"/>
        <w:ind w:firstLine="548"/>
        <w:rPr>
          <w:rFonts w:ascii="仿宋_GB2312" w:hAnsi="仿宋"/>
          <w:sz w:val="29"/>
        </w:rPr>
      </w:pPr>
    </w:p>
    <w:p w14:paraId="414493A6">
      <w:pPr>
        <w:spacing w:line="600" w:lineRule="exact"/>
        <w:ind w:firstLine="548"/>
        <w:rPr>
          <w:rFonts w:ascii="仿宋_GB2312" w:hAnsi="仿宋"/>
          <w:sz w:val="29"/>
        </w:rPr>
      </w:pPr>
    </w:p>
    <w:p w14:paraId="5471BF65">
      <w:pPr>
        <w:spacing w:line="600" w:lineRule="exact"/>
        <w:ind w:firstLine="548"/>
        <w:rPr>
          <w:rFonts w:ascii="仿宋_GB2312" w:hAnsi="仿宋"/>
          <w:sz w:val="29"/>
        </w:rPr>
      </w:pPr>
    </w:p>
    <w:p w14:paraId="3EE631DB">
      <w:pPr>
        <w:jc w:val="center"/>
      </w:pPr>
      <w:r>
        <w:rPr>
          <w:rFonts w:ascii="仿宋_GB2312" w:hAnsi="仿宋"/>
          <w:sz w:val="26"/>
          <w:szCs w:val="26"/>
        </w:rPr>
        <w:t>表2-3 2011年前已建成的燃气汽车</w:t>
      </w:r>
      <w:r>
        <w:rPr>
          <w:rFonts w:ascii="仿宋_GB2312" w:hAnsi="仿宋"/>
          <w:sz w:val="24"/>
        </w:rPr>
        <w:t>加气站分布情况表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812"/>
        <w:gridCol w:w="3037"/>
        <w:gridCol w:w="2470"/>
        <w:gridCol w:w="2441"/>
      </w:tblGrid>
      <w:tr w14:paraId="5DED6B2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center"/>
          </w:tcPr>
          <w:p w14:paraId="446AE6D3">
            <w:pPr>
              <w:jc w:val="center"/>
            </w:pPr>
            <w:r>
              <w:rPr>
                <w:rFonts w:ascii="仿宋_GB2312" w:hAnsi="仿宋"/>
                <w:sz w:val="26"/>
                <w:szCs w:val="26"/>
              </w:rPr>
              <w:t>序号</w:t>
            </w:r>
          </w:p>
        </w:tc>
        <w:tc>
          <w:tcPr>
            <w:tcW w:w="3037" w:type="dxa"/>
            <w:vAlign w:val="center"/>
          </w:tcPr>
          <w:p w14:paraId="53033ABF">
            <w:pPr>
              <w:jc w:val="center"/>
            </w:pPr>
            <w:r>
              <w:rPr>
                <w:rFonts w:ascii="仿宋_GB2312" w:hAnsi="仿宋"/>
                <w:sz w:val="26"/>
                <w:szCs w:val="26"/>
              </w:rPr>
              <w:t>燃气汽车加气站所在地</w:t>
            </w:r>
          </w:p>
        </w:tc>
        <w:tc>
          <w:tcPr>
            <w:tcW w:w="2470" w:type="dxa"/>
            <w:vAlign w:val="center"/>
          </w:tcPr>
          <w:p w14:paraId="53A0BEC9">
            <w:pPr>
              <w:jc w:val="center"/>
            </w:pPr>
            <w:r>
              <w:rPr>
                <w:rFonts w:ascii="仿宋_GB2312" w:hAnsi="仿宋"/>
                <w:sz w:val="26"/>
                <w:szCs w:val="26"/>
              </w:rPr>
              <w:t>NG加气站（座）</w:t>
            </w:r>
          </w:p>
        </w:tc>
        <w:tc>
          <w:tcPr>
            <w:tcW w:w="2441" w:type="dxa"/>
            <w:vAlign w:val="center"/>
          </w:tcPr>
          <w:p w14:paraId="4C0001E5">
            <w:pPr>
              <w:jc w:val="center"/>
            </w:pPr>
            <w:r>
              <w:rPr>
                <w:rFonts w:ascii="仿宋_GB2312" w:hAnsi="仿宋"/>
                <w:sz w:val="26"/>
                <w:szCs w:val="26"/>
              </w:rPr>
              <w:t>LPG加气站（座）</w:t>
            </w:r>
          </w:p>
        </w:tc>
      </w:tr>
      <w:tr w14:paraId="3B3C08C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752307E6">
            <w:pPr>
              <w:jc w:val="center"/>
            </w:pPr>
            <w:r>
              <w:rPr>
                <w:rFonts w:ascii="仿宋_GB2312" w:hAnsi="仿宋"/>
                <w:sz w:val="26"/>
                <w:szCs w:val="26"/>
              </w:rPr>
              <w:t>1</w:t>
            </w:r>
          </w:p>
        </w:tc>
        <w:tc>
          <w:tcPr>
            <w:tcW w:w="3037" w:type="dxa"/>
            <w:vAlign w:val="top"/>
          </w:tcPr>
          <w:p w14:paraId="72CA2CF1">
            <w:pPr>
              <w:jc w:val="left"/>
            </w:pPr>
            <w:r>
              <w:rPr>
                <w:rFonts w:ascii="仿宋_GB2312" w:hAnsi="仿宋"/>
                <w:sz w:val="26"/>
                <w:szCs w:val="26"/>
              </w:rPr>
              <w:t>福州市区</w:t>
            </w:r>
          </w:p>
        </w:tc>
        <w:tc>
          <w:tcPr>
            <w:tcW w:w="2470" w:type="dxa"/>
            <w:vAlign w:val="top"/>
          </w:tcPr>
          <w:p w14:paraId="6B5AFDB7">
            <w:pPr>
              <w:jc w:val="center"/>
            </w:pPr>
            <w:r>
              <w:rPr>
                <w:rFonts w:ascii="仿宋_GB2312" w:hAnsi="仿宋"/>
                <w:sz w:val="26"/>
                <w:szCs w:val="26"/>
              </w:rPr>
              <w:t>3</w:t>
            </w:r>
          </w:p>
        </w:tc>
        <w:tc>
          <w:tcPr>
            <w:tcW w:w="2441" w:type="dxa"/>
            <w:vAlign w:val="top"/>
          </w:tcPr>
          <w:p w14:paraId="14B2047B">
            <w:pPr>
              <w:jc w:val="center"/>
            </w:pPr>
            <w:r>
              <w:rPr>
                <w:rFonts w:ascii="仿宋_GB2312" w:hAnsi="仿宋"/>
                <w:sz w:val="26"/>
                <w:szCs w:val="26"/>
              </w:rPr>
              <w:t>－</w:t>
            </w:r>
          </w:p>
        </w:tc>
      </w:tr>
      <w:tr w14:paraId="6105023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568871AC">
            <w:pPr>
              <w:jc w:val="center"/>
            </w:pPr>
            <w:r>
              <w:rPr>
                <w:rFonts w:ascii="仿宋_GB2312" w:hAnsi="仿宋"/>
                <w:sz w:val="26"/>
                <w:szCs w:val="26"/>
              </w:rPr>
              <w:t>2</w:t>
            </w:r>
          </w:p>
        </w:tc>
        <w:tc>
          <w:tcPr>
            <w:tcW w:w="3037" w:type="dxa"/>
            <w:vAlign w:val="top"/>
          </w:tcPr>
          <w:p w14:paraId="60AAD111">
            <w:pPr>
              <w:jc w:val="left"/>
            </w:pPr>
            <w:r>
              <w:rPr>
                <w:rFonts w:ascii="仿宋_GB2312" w:hAnsi="仿宋"/>
                <w:sz w:val="26"/>
                <w:szCs w:val="26"/>
              </w:rPr>
              <w:t>厦门市区</w:t>
            </w:r>
          </w:p>
        </w:tc>
        <w:tc>
          <w:tcPr>
            <w:tcW w:w="2470" w:type="dxa"/>
            <w:vAlign w:val="top"/>
          </w:tcPr>
          <w:p w14:paraId="6B646C0E">
            <w:pPr>
              <w:jc w:val="center"/>
            </w:pPr>
            <w:r>
              <w:rPr>
                <w:rFonts w:ascii="仿宋_GB2312" w:hAnsi="仿宋"/>
                <w:sz w:val="26"/>
                <w:szCs w:val="26"/>
              </w:rPr>
              <w:t>3</w:t>
            </w:r>
          </w:p>
        </w:tc>
        <w:tc>
          <w:tcPr>
            <w:tcW w:w="2441" w:type="dxa"/>
            <w:vAlign w:val="top"/>
          </w:tcPr>
          <w:p w14:paraId="75013C7C">
            <w:pPr>
              <w:jc w:val="center"/>
            </w:pPr>
            <w:r>
              <w:rPr>
                <w:rFonts w:ascii="仿宋_GB2312" w:hAnsi="仿宋"/>
                <w:sz w:val="26"/>
                <w:szCs w:val="26"/>
              </w:rPr>
              <w:t>2</w:t>
            </w:r>
          </w:p>
        </w:tc>
      </w:tr>
      <w:tr w14:paraId="6CB181B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2BBB3E59">
            <w:pPr>
              <w:jc w:val="center"/>
            </w:pPr>
            <w:r>
              <w:rPr>
                <w:rFonts w:ascii="仿宋_GB2312" w:hAnsi="仿宋"/>
                <w:sz w:val="26"/>
                <w:szCs w:val="26"/>
              </w:rPr>
              <w:t>3</w:t>
            </w:r>
          </w:p>
        </w:tc>
        <w:tc>
          <w:tcPr>
            <w:tcW w:w="3037" w:type="dxa"/>
            <w:vAlign w:val="top"/>
          </w:tcPr>
          <w:p w14:paraId="30CAF99B">
            <w:pPr>
              <w:jc w:val="left"/>
            </w:pPr>
            <w:r>
              <w:rPr>
                <w:rFonts w:ascii="仿宋_GB2312" w:hAnsi="仿宋"/>
                <w:sz w:val="26"/>
                <w:szCs w:val="26"/>
              </w:rPr>
              <w:t>泉州市区</w:t>
            </w:r>
          </w:p>
        </w:tc>
        <w:tc>
          <w:tcPr>
            <w:tcW w:w="2470" w:type="dxa"/>
            <w:vAlign w:val="top"/>
          </w:tcPr>
          <w:p w14:paraId="7E7FA442">
            <w:pPr>
              <w:jc w:val="center"/>
            </w:pPr>
            <w:r>
              <w:rPr>
                <w:rFonts w:ascii="仿宋_GB2312" w:hAnsi="仿宋"/>
                <w:sz w:val="26"/>
                <w:szCs w:val="26"/>
              </w:rPr>
              <w:t>1</w:t>
            </w:r>
          </w:p>
        </w:tc>
        <w:tc>
          <w:tcPr>
            <w:tcW w:w="2441" w:type="dxa"/>
            <w:vAlign w:val="top"/>
          </w:tcPr>
          <w:p w14:paraId="7BA96D0B">
            <w:pPr>
              <w:jc w:val="center"/>
            </w:pPr>
            <w:r>
              <w:rPr>
                <w:rFonts w:ascii="仿宋_GB2312" w:hAnsi="仿宋"/>
                <w:sz w:val="26"/>
                <w:szCs w:val="26"/>
              </w:rPr>
              <w:t>－</w:t>
            </w:r>
          </w:p>
        </w:tc>
      </w:tr>
      <w:tr w14:paraId="290030C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54B6BC77">
            <w:pPr>
              <w:jc w:val="center"/>
            </w:pPr>
            <w:r>
              <w:rPr>
                <w:rFonts w:ascii="仿宋_GB2312" w:hAnsi="仿宋"/>
                <w:sz w:val="26"/>
                <w:szCs w:val="26"/>
              </w:rPr>
              <w:t>4</w:t>
            </w:r>
          </w:p>
        </w:tc>
        <w:tc>
          <w:tcPr>
            <w:tcW w:w="3037" w:type="dxa"/>
            <w:vAlign w:val="top"/>
          </w:tcPr>
          <w:p w14:paraId="1CF5836C">
            <w:pPr>
              <w:jc w:val="left"/>
            </w:pPr>
            <w:r>
              <w:rPr>
                <w:rFonts w:ascii="仿宋_GB2312" w:hAnsi="仿宋"/>
                <w:sz w:val="26"/>
                <w:szCs w:val="26"/>
              </w:rPr>
              <w:t>石狮市区</w:t>
            </w:r>
          </w:p>
        </w:tc>
        <w:tc>
          <w:tcPr>
            <w:tcW w:w="2470" w:type="dxa"/>
            <w:vAlign w:val="top"/>
          </w:tcPr>
          <w:p w14:paraId="26CCD4E4">
            <w:pPr>
              <w:jc w:val="center"/>
            </w:pPr>
            <w:r>
              <w:rPr>
                <w:rFonts w:ascii="仿宋_GB2312" w:hAnsi="仿宋"/>
                <w:sz w:val="26"/>
                <w:szCs w:val="26"/>
              </w:rPr>
              <w:t>1</w:t>
            </w:r>
          </w:p>
        </w:tc>
        <w:tc>
          <w:tcPr>
            <w:tcW w:w="2441" w:type="dxa"/>
            <w:vAlign w:val="top"/>
          </w:tcPr>
          <w:p w14:paraId="5693D523">
            <w:pPr>
              <w:jc w:val="center"/>
            </w:pPr>
            <w:r>
              <w:rPr>
                <w:rFonts w:ascii="仿宋_GB2312" w:hAnsi="仿宋"/>
                <w:sz w:val="26"/>
                <w:szCs w:val="26"/>
              </w:rPr>
              <w:t>－</w:t>
            </w:r>
          </w:p>
        </w:tc>
      </w:tr>
      <w:tr w14:paraId="3BB5444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0FF8A8B0">
            <w:pPr>
              <w:jc w:val="center"/>
            </w:pPr>
            <w:r>
              <w:rPr>
                <w:rFonts w:ascii="仿宋_GB2312" w:hAnsi="仿宋"/>
                <w:sz w:val="26"/>
                <w:szCs w:val="26"/>
              </w:rPr>
              <w:t>5</w:t>
            </w:r>
          </w:p>
        </w:tc>
        <w:tc>
          <w:tcPr>
            <w:tcW w:w="3037" w:type="dxa"/>
            <w:vAlign w:val="top"/>
          </w:tcPr>
          <w:p w14:paraId="13A48756">
            <w:pPr>
              <w:jc w:val="left"/>
            </w:pPr>
            <w:r>
              <w:rPr>
                <w:rFonts w:ascii="仿宋_GB2312" w:hAnsi="仿宋"/>
                <w:sz w:val="26"/>
                <w:szCs w:val="26"/>
              </w:rPr>
              <w:t>晋江市区</w:t>
            </w:r>
          </w:p>
        </w:tc>
        <w:tc>
          <w:tcPr>
            <w:tcW w:w="2470" w:type="dxa"/>
            <w:vAlign w:val="top"/>
          </w:tcPr>
          <w:p w14:paraId="143225FD">
            <w:pPr>
              <w:jc w:val="center"/>
            </w:pPr>
            <w:r>
              <w:rPr>
                <w:rFonts w:ascii="仿宋_GB2312" w:hAnsi="仿宋"/>
                <w:sz w:val="26"/>
                <w:szCs w:val="26"/>
              </w:rPr>
              <w:t>1</w:t>
            </w:r>
          </w:p>
        </w:tc>
        <w:tc>
          <w:tcPr>
            <w:tcW w:w="2441" w:type="dxa"/>
            <w:vAlign w:val="top"/>
          </w:tcPr>
          <w:p w14:paraId="35E054AE">
            <w:pPr>
              <w:jc w:val="center"/>
            </w:pPr>
            <w:r>
              <w:rPr>
                <w:rFonts w:ascii="仿宋_GB2312" w:hAnsi="仿宋"/>
                <w:sz w:val="26"/>
                <w:szCs w:val="26"/>
              </w:rPr>
              <w:t>－</w:t>
            </w:r>
          </w:p>
        </w:tc>
      </w:tr>
      <w:tr w14:paraId="75B770B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1B1B5D85">
            <w:pPr>
              <w:jc w:val="center"/>
            </w:pPr>
            <w:r>
              <w:rPr>
                <w:rFonts w:ascii="仿宋_GB2312" w:hAnsi="仿宋"/>
                <w:sz w:val="26"/>
                <w:szCs w:val="26"/>
              </w:rPr>
              <w:t>6</w:t>
            </w:r>
          </w:p>
        </w:tc>
        <w:tc>
          <w:tcPr>
            <w:tcW w:w="3037" w:type="dxa"/>
            <w:vAlign w:val="top"/>
          </w:tcPr>
          <w:p w14:paraId="023819BD">
            <w:pPr>
              <w:jc w:val="left"/>
            </w:pPr>
            <w:r>
              <w:rPr>
                <w:rFonts w:ascii="仿宋_GB2312" w:hAnsi="仿宋"/>
                <w:sz w:val="26"/>
                <w:szCs w:val="26"/>
              </w:rPr>
              <w:t>南安市区</w:t>
            </w:r>
          </w:p>
        </w:tc>
        <w:tc>
          <w:tcPr>
            <w:tcW w:w="2470" w:type="dxa"/>
            <w:vAlign w:val="top"/>
          </w:tcPr>
          <w:p w14:paraId="03713E8E">
            <w:pPr>
              <w:jc w:val="center"/>
            </w:pPr>
            <w:r>
              <w:rPr>
                <w:rFonts w:ascii="仿宋_GB2312" w:hAnsi="仿宋"/>
                <w:sz w:val="26"/>
                <w:szCs w:val="26"/>
              </w:rPr>
              <w:t>1</w:t>
            </w:r>
          </w:p>
        </w:tc>
        <w:tc>
          <w:tcPr>
            <w:tcW w:w="2441" w:type="dxa"/>
            <w:vAlign w:val="top"/>
          </w:tcPr>
          <w:p w14:paraId="24907516">
            <w:pPr>
              <w:jc w:val="center"/>
            </w:pPr>
            <w:r>
              <w:rPr>
                <w:rFonts w:ascii="仿宋_GB2312" w:hAnsi="仿宋"/>
                <w:sz w:val="26"/>
                <w:szCs w:val="26"/>
              </w:rPr>
              <w:t>－</w:t>
            </w:r>
          </w:p>
        </w:tc>
      </w:tr>
      <w:tr w14:paraId="4AD630C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269F77A3">
            <w:pPr>
              <w:jc w:val="center"/>
            </w:pPr>
            <w:r>
              <w:rPr>
                <w:rFonts w:ascii="仿宋_GB2312" w:hAnsi="仿宋"/>
                <w:sz w:val="26"/>
                <w:szCs w:val="26"/>
              </w:rPr>
              <w:t>7</w:t>
            </w:r>
          </w:p>
        </w:tc>
        <w:tc>
          <w:tcPr>
            <w:tcW w:w="3037" w:type="dxa"/>
            <w:vAlign w:val="top"/>
          </w:tcPr>
          <w:p w14:paraId="70FF487D">
            <w:pPr>
              <w:jc w:val="left"/>
            </w:pPr>
            <w:r>
              <w:rPr>
                <w:rFonts w:ascii="仿宋_GB2312" w:hAnsi="仿宋"/>
                <w:sz w:val="26"/>
                <w:szCs w:val="26"/>
              </w:rPr>
              <w:t>尤溪县</w:t>
            </w:r>
          </w:p>
        </w:tc>
        <w:tc>
          <w:tcPr>
            <w:tcW w:w="2470" w:type="dxa"/>
            <w:vAlign w:val="top"/>
          </w:tcPr>
          <w:p w14:paraId="756E4B4F">
            <w:pPr>
              <w:jc w:val="center"/>
            </w:pPr>
            <w:r>
              <w:rPr>
                <w:rFonts w:ascii="仿宋_GB2312" w:hAnsi="仿宋"/>
                <w:sz w:val="26"/>
                <w:szCs w:val="26"/>
              </w:rPr>
              <w:t>－</w:t>
            </w:r>
          </w:p>
        </w:tc>
        <w:tc>
          <w:tcPr>
            <w:tcW w:w="2441" w:type="dxa"/>
            <w:vAlign w:val="top"/>
          </w:tcPr>
          <w:p w14:paraId="398910CA">
            <w:pPr>
              <w:jc w:val="center"/>
            </w:pPr>
            <w:r>
              <w:rPr>
                <w:rFonts w:ascii="仿宋_GB2312" w:hAnsi="仿宋"/>
                <w:sz w:val="26"/>
                <w:szCs w:val="26"/>
              </w:rPr>
              <w:t>6</w:t>
            </w:r>
          </w:p>
        </w:tc>
      </w:tr>
      <w:tr w14:paraId="0577EB3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812" w:type="dxa"/>
            <w:vAlign w:val="top"/>
          </w:tcPr>
          <w:p w14:paraId="0CCD1AB6">
            <w:pPr>
              <w:jc w:val="center"/>
            </w:pPr>
            <w:r>
              <w:rPr>
                <w:rFonts w:ascii="仿宋_GB2312" w:hAnsi="仿宋"/>
                <w:sz w:val="26"/>
                <w:szCs w:val="26"/>
              </w:rPr>
              <w:t>8</w:t>
            </w:r>
          </w:p>
        </w:tc>
        <w:tc>
          <w:tcPr>
            <w:tcW w:w="3037" w:type="dxa"/>
            <w:vAlign w:val="top"/>
          </w:tcPr>
          <w:p w14:paraId="264293E7">
            <w:pPr>
              <w:jc w:val="left"/>
            </w:pPr>
            <w:r>
              <w:rPr>
                <w:rFonts w:ascii="仿宋_GB2312" w:hAnsi="仿宋"/>
                <w:sz w:val="26"/>
                <w:szCs w:val="26"/>
              </w:rPr>
              <w:t>小计</w:t>
            </w:r>
          </w:p>
        </w:tc>
        <w:tc>
          <w:tcPr>
            <w:tcW w:w="2470" w:type="dxa"/>
            <w:vAlign w:val="top"/>
          </w:tcPr>
          <w:p w14:paraId="51F2263F">
            <w:pPr>
              <w:jc w:val="center"/>
            </w:pPr>
            <w:r>
              <w:rPr>
                <w:rFonts w:ascii="仿宋_GB2312" w:hAnsi="仿宋"/>
                <w:sz w:val="26"/>
                <w:szCs w:val="26"/>
              </w:rPr>
              <w:t>10</w:t>
            </w:r>
          </w:p>
        </w:tc>
        <w:tc>
          <w:tcPr>
            <w:tcW w:w="2441" w:type="dxa"/>
            <w:vAlign w:val="top"/>
          </w:tcPr>
          <w:p w14:paraId="0AC56511">
            <w:pPr>
              <w:jc w:val="center"/>
            </w:pPr>
            <w:r>
              <w:rPr>
                <w:rFonts w:ascii="仿宋_GB2312" w:hAnsi="仿宋"/>
                <w:sz w:val="26"/>
                <w:szCs w:val="26"/>
              </w:rPr>
              <w:t>8</w:t>
            </w:r>
          </w:p>
        </w:tc>
      </w:tr>
    </w:tbl>
    <w:p w14:paraId="17D9095B">
      <w:pPr>
        <w:spacing w:line="600" w:lineRule="exact"/>
        <w:ind w:firstLine="548"/>
        <w:rPr>
          <w:rFonts w:ascii="仿宋_GB2312" w:hAnsi="仿宋"/>
          <w:sz w:val="29"/>
        </w:rPr>
      </w:pPr>
    </w:p>
    <w:p w14:paraId="25725CB7">
      <w:pPr>
        <w:spacing w:line="600" w:lineRule="exact"/>
        <w:ind w:firstLine="548"/>
      </w:pPr>
      <w:r>
        <w:rPr>
          <w:rFonts w:ascii="仿宋_GB2312" w:hAnsi="仿宋"/>
          <w:sz w:val="29"/>
        </w:rPr>
        <w:t>（三）“十一五”规划执行情况</w:t>
      </w:r>
    </w:p>
    <w:p w14:paraId="3C641357">
      <w:pPr>
        <w:spacing w:line="540" w:lineRule="exact"/>
        <w:ind w:firstLine="548"/>
      </w:pPr>
      <w:r>
        <w:rPr>
          <w:rFonts w:ascii="仿宋_GB2312" w:hAnsi="仿宋"/>
          <w:sz w:val="29"/>
        </w:rPr>
        <w:t>“十一五”期间燃气基础设施规划的执行情况较好，按计划完成了如下工程量：LNG项目主要城市管道燃气用户为福州、莆田、泉州、厦门、漳州等五个设区的市及福清、晋江和惠安等3个县（市），建成包括秀屿、惠安、泉州、晋江、翔安、厦门、漳州、莆田、宏路、福州等10个分输站，年合同用气量约51.45万吨。省内LNG一期管网不能到达的部分地区已建成LNG气化站（卫星站）35座，总储存规模109万立方米。</w:t>
      </w:r>
    </w:p>
    <w:p w14:paraId="3556E535">
      <w:pPr>
        <w:spacing w:line="600" w:lineRule="exact"/>
        <w:ind w:firstLine="600"/>
      </w:pPr>
      <w:r>
        <w:rPr>
          <w:rFonts w:ascii="仿宋_GB2312" w:hAnsi="仿宋"/>
          <w:sz w:val="29"/>
        </w:rPr>
        <w:t>（四）存在问题</w:t>
      </w:r>
    </w:p>
    <w:p w14:paraId="08023A35">
      <w:pPr>
        <w:spacing w:line="600" w:lineRule="exact"/>
        <w:ind w:firstLine="548"/>
      </w:pPr>
      <w:r>
        <w:rPr>
          <w:rFonts w:ascii="仿宋_GB2312" w:hAnsi="仿宋"/>
          <w:sz w:val="29"/>
        </w:rPr>
        <w:t>虽然我省城镇燃气设施建设取得了一定阶段性成果，但总体来讲，城市燃气设施的数量和供气规模还远远不能适应城市社会快速发展的需要。现阶段城镇燃气设施建设和发展主要存在以下问题：</w:t>
      </w:r>
    </w:p>
    <w:p w14:paraId="33EB62D4">
      <w:pPr>
        <w:spacing w:line="600" w:lineRule="exact"/>
        <w:ind w:firstLine="548"/>
      </w:pPr>
      <w:r>
        <w:rPr>
          <w:rFonts w:ascii="仿宋_GB2312" w:hAnsi="仿宋"/>
          <w:sz w:val="29"/>
        </w:rPr>
        <w:t>1、LNG资源供应的保证。从气源方面，随着LNG供应在全省燃气用户市场份额的不断增加，LNG气源安全保障的能力，越来越成为管理的重点。</w:t>
      </w:r>
    </w:p>
    <w:p w14:paraId="14467DC4">
      <w:pPr>
        <w:spacing w:line="600" w:lineRule="exact"/>
        <w:ind w:firstLine="548"/>
      </w:pPr>
      <w:r>
        <w:rPr>
          <w:rFonts w:ascii="仿宋_GB2312" w:hAnsi="仿宋"/>
          <w:sz w:val="29"/>
        </w:rPr>
        <w:t>2、LNG供应的季节调峰问题。与LNG供气方签订的《经修订与重述的FOB液化天然气销售与购买协议》规定LNG季节提取模式为均匀提取。而用户市场季节用气是不均匀的，为了保障供应，对建设储气设施、用户管理、天然气管网统一调度等提出了更高的要求。</w:t>
      </w:r>
    </w:p>
    <w:p w14:paraId="5760C9F0">
      <w:pPr>
        <w:spacing w:line="600" w:lineRule="exact"/>
        <w:ind w:firstLine="548"/>
      </w:pPr>
      <w:r>
        <w:rPr>
          <w:rFonts w:ascii="仿宋_GB2312" w:hAnsi="仿宋"/>
          <w:sz w:val="29"/>
        </w:rPr>
        <w:t>3、管道燃气气源单一，缺乏多种气源、多点供气的安全供应保障。</w:t>
      </w:r>
    </w:p>
    <w:p w14:paraId="18310B81">
      <w:pPr>
        <w:spacing w:line="600" w:lineRule="exact"/>
        <w:ind w:firstLine="548"/>
      </w:pPr>
      <w:r>
        <w:rPr>
          <w:rFonts w:ascii="仿宋_GB2312" w:hAnsi="仿宋"/>
          <w:sz w:val="29"/>
        </w:rPr>
        <w:t>4、建设资金严重不足。福建省城镇燃气基础设施建设由于长年“欠债”较多，在将来的规划期内建设的任务较重，由于各级地方政府的财力都比较紧张，资金自筹能力较弱，燃气项目建设面临严峻的资金压力，在一定程度上影响了城镇燃气基础设施的建设。</w:t>
      </w:r>
    </w:p>
    <w:p w14:paraId="59F1A443">
      <w:pPr>
        <w:spacing w:line="600" w:lineRule="exact"/>
        <w:ind w:firstLine="548"/>
        <w:sectPr>
          <w:pgSz w:w="11907" w:h="16840"/>
          <w:pgMar w:top="1588" w:right="1418" w:bottom="1418" w:left="1588" w:header="720" w:footer="720" w:gutter="0"/>
          <w:cols w:space="720" w:num="1"/>
        </w:sectPr>
      </w:pPr>
    </w:p>
    <w:p w14:paraId="1F7568CB">
      <w:pPr>
        <w:pStyle w:val="11"/>
        <w:spacing w:before="0" w:after="0" w:line="600" w:lineRule="exact"/>
        <w:jc w:val="center"/>
      </w:pPr>
      <w:r>
        <w:rPr>
          <w:rFonts w:ascii="仿宋_GB2312" w:hAnsi="仿宋"/>
          <w:b/>
          <w:sz w:val="36"/>
          <w:szCs w:val="36"/>
        </w:rPr>
        <w:t>第三章  气源</w:t>
      </w:r>
    </w:p>
    <w:p w14:paraId="5B7F3FD1">
      <w:pPr>
        <w:rPr>
          <w:rFonts w:ascii="仿宋_GB2312" w:hAnsi="仿宋"/>
          <w:b/>
        </w:rPr>
      </w:pPr>
    </w:p>
    <w:p w14:paraId="1BD41630">
      <w:pPr>
        <w:ind w:firstLine="548"/>
      </w:pPr>
      <w:r>
        <w:rPr>
          <w:rFonts w:ascii="仿宋_GB2312" w:hAnsi="仿宋"/>
          <w:sz w:val="29"/>
        </w:rPr>
        <w:t>（一）现状气源</w:t>
      </w:r>
    </w:p>
    <w:p w14:paraId="01195DF0">
      <w:pPr>
        <w:spacing w:line="600" w:lineRule="exact"/>
        <w:ind w:firstLine="548"/>
      </w:pPr>
      <w:r>
        <w:rPr>
          <w:rFonts w:ascii="仿宋_GB2312" w:hAnsi="仿宋"/>
          <w:sz w:val="29"/>
        </w:rPr>
        <w:t>1、福建省现状气源</w:t>
      </w:r>
    </w:p>
    <w:p w14:paraId="2D5E06ED">
      <w:pPr>
        <w:spacing w:line="600" w:lineRule="exact"/>
        <w:ind w:firstLine="548"/>
      </w:pPr>
      <w:r>
        <w:rPr>
          <w:rFonts w:ascii="仿宋_GB2312" w:hAnsi="仿宋"/>
          <w:sz w:val="29"/>
        </w:rPr>
        <w:t>福建省LNG项目的供气方为印尼东固（Tangguh）项目，经国际独立第三方评估，东固气田目前已探明储量为14.5Tcf(4089亿立方米)，该探明储量足以支持一个具有三个系列的液化工厂（1000万吨/年）生产LNG20年。根据供需合同，季节提取模式为均匀提取，供气规模为260万吨/年。</w:t>
      </w:r>
    </w:p>
    <w:p w14:paraId="564BB683">
      <w:pPr>
        <w:spacing w:line="600" w:lineRule="exact"/>
        <w:ind w:firstLine="548"/>
        <w:rPr>
          <w:rFonts w:ascii="仿宋_GB2312" w:hAnsi="仿宋"/>
          <w:sz w:val="29"/>
        </w:rPr>
      </w:pPr>
      <w:r>
        <w:rPr>
          <w:rFonts w:ascii="仿宋_GB2312" w:hAnsi="仿宋"/>
          <w:sz w:val="29"/>
        </w:rPr>
        <w:t>2、周边省市天然气现状</w:t>
      </w:r>
    </w:p>
    <w:p w14:paraId="11F8A0A4">
      <w:pPr>
        <w:spacing w:line="600" w:lineRule="exact"/>
        <w:ind w:firstLine="548"/>
      </w:pPr>
      <w:r>
        <w:rPr>
          <w:rFonts w:ascii="仿宋_GB2312" w:hAnsi="仿宋"/>
          <w:sz w:val="29"/>
        </w:rPr>
        <w:t>（1）广东省。天然气由大鹏LNG项目和珠海—中山天然气管道项目负责供应，气源分别来自澳大利亚西北大陆架及位于珠江口的惠州21-1和番禺30-1海上天然气气田，2006年开始供气，稳产期年供气合计为56.5亿立方米（扣除供香港量）。受气源限制，广东省目前只有珠三角地区的主要城市开始大规模利用天然气，已建及在建天然气供气干支线共计520.6公里。其它地区通过槽车运输使用少量CNG和LNG。2010年珠三角地区的用气市场需求接近180亿立方米，资源供应与市场需求存在较大缺口。</w:t>
      </w:r>
    </w:p>
    <w:p w14:paraId="2B9FFB42">
      <w:pPr>
        <w:spacing w:line="600" w:lineRule="exact"/>
        <w:ind w:firstLine="548"/>
      </w:pPr>
      <w:r>
        <w:rPr>
          <w:rFonts w:ascii="仿宋_GB2312" w:hAnsi="仿宋"/>
          <w:sz w:val="29"/>
        </w:rPr>
        <w:t>（2）浙江省。管网工程建设正在稳步开展，宁波至温州段管线已进入了实施阶段。气源包括西气东输一、二线和东海气田、四川气田，计划2012年进口LNG。2010年用气市场需求接近85亿立方米，2015年将达到120亿立方米；市场需求超过气源的供应量。宁波LNG接收站工程一期设计规模确定为300万吨/年，计划于2012年达产，另有50万吨LNG通过汽车槽车运送到周边地区；二期设计规模为600万吨/年，另有100万吨LNG通过汽车槽车运送到周边地区，预计2015年左右达产。规划2013年之前宁波至温州段管线建成通气。</w:t>
      </w:r>
    </w:p>
    <w:p w14:paraId="0F2D6C18">
      <w:pPr>
        <w:ind w:firstLine="411"/>
      </w:pPr>
      <w:r>
        <w:rPr>
          <w:rFonts w:ascii="仿宋_GB2312" w:hAnsi="仿宋"/>
          <w:sz w:val="29"/>
        </w:rPr>
        <w:t>（ 二）潜在气源</w:t>
      </w:r>
    </w:p>
    <w:p w14:paraId="0F3CE5A6">
      <w:pPr>
        <w:ind w:firstLine="548"/>
      </w:pPr>
      <w:r>
        <w:rPr>
          <w:rFonts w:ascii="仿宋_GB2312" w:hAnsi="仿宋"/>
          <w:sz w:val="29"/>
        </w:rPr>
        <w:t>国内生产的天然气和通过管道进口的天然气是福建省潜在的内陆气源。</w:t>
      </w:r>
    </w:p>
    <w:p w14:paraId="1F579C6F">
      <w:pPr>
        <w:spacing w:line="600" w:lineRule="exact"/>
        <w:ind w:firstLine="548"/>
      </w:pPr>
      <w:r>
        <w:rPr>
          <w:rFonts w:ascii="仿宋_GB2312" w:hAnsi="仿宋"/>
          <w:sz w:val="29"/>
        </w:rPr>
        <w:t>1、国产天然气</w:t>
      </w:r>
    </w:p>
    <w:p w14:paraId="4D106207">
      <w:pPr>
        <w:ind w:firstLine="548"/>
      </w:pPr>
      <w:r>
        <w:rPr>
          <w:rFonts w:ascii="仿宋_GB2312" w:hAnsi="仿宋"/>
          <w:sz w:val="29"/>
        </w:rPr>
        <w:t>我国天然气勘探的快速发展始于上个世纪90年代，“八五”期间新增地质储量近7000亿立方米，“九五”期间新增地质储量1.16亿立方米，“十五”期间新增地质储量2.54亿立方米，2007年新增6178亿立方米，储量快速增长势头明显。</w:t>
      </w:r>
      <w:r>
        <w:rPr>
          <w:rFonts w:hint="eastAsia" w:ascii="仿宋_GB2312" w:hAnsi="仿宋"/>
          <w:sz w:val="29"/>
          <w:lang w:eastAsia="zh-CN"/>
        </w:rPr>
        <w:t>截至</w:t>
      </w:r>
      <w:r>
        <w:rPr>
          <w:rFonts w:ascii="仿宋_GB2312" w:hAnsi="仿宋"/>
          <w:sz w:val="29"/>
        </w:rPr>
        <w:t>2007年底，全国累计探明天然气地质储量7.3亿立方米，探明可采储量4.1万亿立方米，累计采出0.9万亿立方米，剩余可采储量3.2万亿立方米，其中，中国石油占70%以上。预计中国天然气探明储量快速增长将持续保持到2020年，或更长时间。</w:t>
      </w:r>
    </w:p>
    <w:p w14:paraId="12022356">
      <w:pPr>
        <w:spacing w:line="600" w:lineRule="exact"/>
        <w:ind w:firstLine="548"/>
      </w:pPr>
      <w:r>
        <w:rPr>
          <w:rFonts w:ascii="仿宋_GB2312" w:hAnsi="仿宋"/>
          <w:sz w:val="29"/>
        </w:rPr>
        <w:t>2、进口管道天然气</w:t>
      </w:r>
    </w:p>
    <w:p w14:paraId="6A510BF5">
      <w:pPr>
        <w:ind w:firstLine="548"/>
      </w:pPr>
      <w:r>
        <w:rPr>
          <w:rFonts w:ascii="仿宋_GB2312" w:hAnsi="仿宋"/>
          <w:sz w:val="29"/>
        </w:rPr>
        <w:t>我国周边的俄罗斯和中亚等国家天然气资源丰富，西南缅甸等邻国也存在向中国出口天然气的可能。2007年7月，我国已与土库曼签订天然气购销协议，供气规模300亿立方米/年，今年又就增供100亿立方米/年事宜达成一致，考虑到中亚等国资源潜力，从中亚进口天然气的规模存在进一步增加的可能性。2006年3月，普京总统访华期间，两国油气公司签署了关于俄罗斯向中国供气的谅解备忘录，目标是西部供气300亿立方米/年，东部供气380亿立方米/年；目前正在进行相关问题的谈判。另外，我国还在进行从缅甸进口天然气的准备工作，预计初期气量相对较小，对福建省供气影响不大。</w:t>
      </w:r>
    </w:p>
    <w:p w14:paraId="3412428C">
      <w:pPr>
        <w:spacing w:line="600" w:lineRule="exact"/>
        <w:ind w:firstLine="548"/>
      </w:pPr>
      <w:r>
        <w:rPr>
          <w:rFonts w:ascii="仿宋_GB2312" w:hAnsi="仿宋"/>
          <w:sz w:val="29"/>
        </w:rPr>
        <w:t>3、向福建省管输供气的可能性</w:t>
      </w:r>
    </w:p>
    <w:p w14:paraId="18500079">
      <w:pPr>
        <w:ind w:firstLine="548"/>
      </w:pPr>
      <w:r>
        <w:rPr>
          <w:rFonts w:ascii="仿宋_GB2312" w:hAnsi="仿宋"/>
          <w:sz w:val="29"/>
        </w:rPr>
        <w:t>从国内天然气工业的发展形势看，近十年国产气产量将快速增长，国产气将满足国内大部分需求；已落实大量进口管道气量，进口LNG的市场需求压力将大大缓解。通过管道向国内主要市场供气管道工程包括：西气东输、川气东送、西气东输二线、中缅管道（含川气）、西气东输三线、四线等。目前已开工和投产运行的项目中，没有考虑向福建供气。而对于已基本落实资源的西气东输三线、四线等工程，向福建供应天然气的可能性较大。未来管道气可能从江西、浙江或广东方向进入福建省。</w:t>
      </w:r>
    </w:p>
    <w:p w14:paraId="05C7462B">
      <w:pPr>
        <w:ind w:firstLine="548"/>
      </w:pPr>
      <w:r>
        <w:rPr>
          <w:rFonts w:ascii="仿宋_GB2312" w:hAnsi="仿宋"/>
          <w:sz w:val="29"/>
        </w:rPr>
        <w:t>（三）LNG气源</w:t>
      </w:r>
    </w:p>
    <w:p w14:paraId="6E503BF2">
      <w:pPr>
        <w:spacing w:line="600" w:lineRule="exact"/>
        <w:ind w:firstLine="548"/>
      </w:pPr>
      <w:r>
        <w:rPr>
          <w:rFonts w:ascii="仿宋_GB2312" w:hAnsi="仿宋"/>
          <w:sz w:val="29"/>
        </w:rPr>
        <w:t>１、全球LNG贸易情况</w:t>
      </w:r>
    </w:p>
    <w:p w14:paraId="57589894">
      <w:pPr>
        <w:ind w:firstLine="548"/>
      </w:pPr>
      <w:r>
        <w:rPr>
          <w:rFonts w:ascii="仿宋_GB2312" w:hAnsi="仿宋"/>
          <w:sz w:val="29"/>
        </w:rPr>
        <w:t>２００７年世界天然气消费增长了３.１％，其中LNG贸易量上升了7.3%，与历史平均水平持平。</w:t>
      </w:r>
      <w:r>
        <w:rPr>
          <w:rFonts w:hint="eastAsia" w:ascii="仿宋_GB2312" w:hAnsi="仿宋"/>
          <w:sz w:val="29"/>
          <w:lang w:eastAsia="zh-CN"/>
        </w:rPr>
        <w:t>截至</w:t>
      </w:r>
      <w:r>
        <w:rPr>
          <w:rFonts w:ascii="仿宋_GB2312" w:hAnsi="仿宋"/>
          <w:sz w:val="29"/>
        </w:rPr>
        <w:t>2007年底，全世界LNG产能达16640万吨，其中，东南亚-大洋洲、中东和非洲地区分别为7600万吨、3860万吨、4060万吨，占全球总量的比例分别为45.7%、23.2%和24.4%。世界LNG出口大国依次为印度尼西亚、马来西亚、阿尔及利亚、卡塔尔、特立尼达、多巴哥和澳大利亚。日本则为世界最大的LNG进口国，其次为韩国和美国。</w:t>
      </w:r>
    </w:p>
    <w:p w14:paraId="319E2336">
      <w:pPr>
        <w:spacing w:line="600" w:lineRule="exact"/>
        <w:ind w:firstLine="548"/>
      </w:pPr>
      <w:r>
        <w:rPr>
          <w:rFonts w:ascii="仿宋_GB2312" w:hAnsi="仿宋"/>
          <w:sz w:val="29"/>
        </w:rPr>
        <w:t>2、东北亚LNG贸易情况</w:t>
      </w:r>
    </w:p>
    <w:p w14:paraId="30FE0654">
      <w:pPr>
        <w:ind w:firstLine="548"/>
      </w:pPr>
      <w:r>
        <w:rPr>
          <w:rFonts w:ascii="仿宋_GB2312" w:hAnsi="仿宋"/>
          <w:sz w:val="29"/>
        </w:rPr>
        <w:t>2007年东北亚LNG贸易情况见表3-1。</w:t>
      </w:r>
    </w:p>
    <w:p w14:paraId="25BD3DBB">
      <w:pPr>
        <w:jc w:val="center"/>
      </w:pPr>
      <w:r>
        <w:rPr>
          <w:rFonts w:ascii="仿宋_GB2312" w:hAnsi="仿宋"/>
        </w:rPr>
        <w:t xml:space="preserve">表3-1  </w:t>
      </w:r>
      <w:r>
        <w:rPr>
          <w:rFonts w:ascii="仿宋_GB2312" w:hAnsi="仿宋"/>
          <w:sz w:val="24"/>
        </w:rPr>
        <w:t>2007年东北亚LNG贸易流向表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1824"/>
        <w:gridCol w:w="1824"/>
        <w:gridCol w:w="1823"/>
        <w:gridCol w:w="1823"/>
        <w:gridCol w:w="1823"/>
      </w:tblGrid>
      <w:tr w14:paraId="2C219A6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Merge w:val="restart"/>
            <w:vAlign w:val="center"/>
          </w:tcPr>
          <w:p w14:paraId="7ABA074B">
            <w:pPr>
              <w:jc w:val="center"/>
            </w:pPr>
            <w:r>
              <w:rPr>
                <w:rFonts w:ascii="仿宋_GB2312" w:hAnsi="仿宋"/>
                <w:sz w:val="24"/>
              </w:rPr>
              <w:t>序号</w:t>
            </w:r>
          </w:p>
        </w:tc>
        <w:tc>
          <w:tcPr>
            <w:tcW w:w="1824" w:type="dxa"/>
            <w:vMerge w:val="restart"/>
            <w:vAlign w:val="center"/>
          </w:tcPr>
          <w:p w14:paraId="5674D1C5">
            <w:pPr>
              <w:jc w:val="center"/>
            </w:pPr>
            <w:r>
              <w:rPr>
                <w:rFonts w:ascii="仿宋_GB2312" w:hAnsi="仿宋"/>
                <w:sz w:val="24"/>
              </w:rPr>
              <w:t>出口地</w:t>
            </w:r>
          </w:p>
        </w:tc>
        <w:tc>
          <w:tcPr>
            <w:tcW w:w="1823" w:type="dxa"/>
            <w:vMerge w:val="restart"/>
            <w:vAlign w:val="center"/>
          </w:tcPr>
          <w:p w14:paraId="75BBEFCF">
            <w:pPr>
              <w:jc w:val="center"/>
            </w:pPr>
            <w:r>
              <w:rPr>
                <w:rFonts w:ascii="仿宋_GB2312" w:hAnsi="仿宋"/>
                <w:sz w:val="24"/>
              </w:rPr>
              <w:t>进口地</w:t>
            </w:r>
          </w:p>
        </w:tc>
        <w:tc>
          <w:tcPr>
            <w:tcW w:w="3646" w:type="dxa"/>
            <w:gridSpan w:val="2"/>
            <w:vAlign w:val="top"/>
          </w:tcPr>
          <w:p w14:paraId="246A6963">
            <w:pPr>
              <w:jc w:val="center"/>
            </w:pPr>
            <w:r>
              <w:rPr>
                <w:rFonts w:ascii="仿宋_GB2312" w:hAnsi="仿宋"/>
                <w:sz w:val="24"/>
              </w:rPr>
              <w:t>数量</w:t>
            </w:r>
          </w:p>
        </w:tc>
      </w:tr>
      <w:tr w14:paraId="2CFEA72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vMerge w:val="continue"/>
          </w:tcPr>
          <w:p w14:paraId="534508A5"/>
        </w:tc>
        <w:tc>
          <w:tcPr>
            <w:vMerge w:val="continue"/>
          </w:tcPr>
          <w:p w14:paraId="0F5F528D"/>
        </w:tc>
        <w:tc>
          <w:tcPr>
            <w:vMerge w:val="continue"/>
          </w:tcPr>
          <w:p w14:paraId="6F3D5F7F"/>
        </w:tc>
        <w:tc>
          <w:tcPr>
            <w:tcW w:w="1823" w:type="dxa"/>
            <w:vAlign w:val="top"/>
          </w:tcPr>
          <w:p w14:paraId="6791CA98">
            <w:pPr>
              <w:jc w:val="center"/>
            </w:pPr>
            <w:r>
              <w:rPr>
                <w:rFonts w:ascii="仿宋_GB2312" w:hAnsi="仿宋"/>
                <w:sz w:val="24"/>
              </w:rPr>
              <w:t>（10亿立方米）</w:t>
            </w:r>
          </w:p>
        </w:tc>
        <w:tc>
          <w:tcPr>
            <w:tcW w:w="1823" w:type="dxa"/>
            <w:vAlign w:val="top"/>
          </w:tcPr>
          <w:p w14:paraId="320D0E34">
            <w:pPr>
              <w:jc w:val="center"/>
            </w:pPr>
            <w:r>
              <w:rPr>
                <w:rFonts w:ascii="仿宋_GB2312" w:hAnsi="仿宋"/>
                <w:sz w:val="24"/>
              </w:rPr>
              <w:t>（万吨）</w:t>
            </w:r>
          </w:p>
        </w:tc>
      </w:tr>
      <w:tr w14:paraId="1529EEA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3EBA6431">
            <w:pPr>
              <w:jc w:val="center"/>
            </w:pPr>
            <w:r>
              <w:rPr>
                <w:rFonts w:ascii="仿宋_GB2312" w:hAnsi="仿宋"/>
                <w:sz w:val="24"/>
              </w:rPr>
              <w:t>1</w:t>
            </w:r>
          </w:p>
        </w:tc>
        <w:tc>
          <w:tcPr>
            <w:tcW w:w="1824" w:type="dxa"/>
            <w:vAlign w:val="top"/>
          </w:tcPr>
          <w:p w14:paraId="0A2EA0EE">
            <w:pPr>
              <w:jc w:val="center"/>
            </w:pPr>
            <w:r>
              <w:rPr>
                <w:rFonts w:ascii="仿宋_GB2312" w:hAnsi="仿宋"/>
                <w:sz w:val="24"/>
              </w:rPr>
              <w:t>澳大利亚</w:t>
            </w:r>
          </w:p>
        </w:tc>
        <w:tc>
          <w:tcPr>
            <w:tcW w:w="1823" w:type="dxa"/>
            <w:vAlign w:val="top"/>
          </w:tcPr>
          <w:p w14:paraId="06014C0C">
            <w:pPr>
              <w:jc w:val="center"/>
            </w:pPr>
            <w:r>
              <w:rPr>
                <w:rFonts w:ascii="仿宋_GB2312" w:hAnsi="仿宋"/>
                <w:sz w:val="24"/>
              </w:rPr>
              <w:t>日本</w:t>
            </w:r>
          </w:p>
        </w:tc>
        <w:tc>
          <w:tcPr>
            <w:tcW w:w="1823" w:type="dxa"/>
            <w:vAlign w:val="top"/>
          </w:tcPr>
          <w:p w14:paraId="0C7C9B3F">
            <w:pPr>
              <w:jc w:val="center"/>
            </w:pPr>
            <w:r>
              <w:rPr>
                <w:rFonts w:ascii="仿宋_GB2312" w:hAnsi="仿宋"/>
                <w:sz w:val="24"/>
              </w:rPr>
              <w:t>16.05</w:t>
            </w:r>
          </w:p>
        </w:tc>
        <w:tc>
          <w:tcPr>
            <w:tcW w:w="1823" w:type="dxa"/>
            <w:vAlign w:val="top"/>
          </w:tcPr>
          <w:p w14:paraId="5EEB15AF">
            <w:pPr>
              <w:jc w:val="center"/>
            </w:pPr>
            <w:r>
              <w:rPr>
                <w:rFonts w:ascii="仿宋_GB2312" w:hAnsi="仿宋"/>
                <w:sz w:val="24"/>
              </w:rPr>
              <w:t>1172</w:t>
            </w:r>
          </w:p>
        </w:tc>
      </w:tr>
      <w:tr w14:paraId="51C17A4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712C2894">
            <w:pPr>
              <w:jc w:val="center"/>
            </w:pPr>
            <w:r>
              <w:rPr>
                <w:rFonts w:ascii="仿宋_GB2312" w:hAnsi="仿宋"/>
                <w:sz w:val="24"/>
              </w:rPr>
              <w:t>2</w:t>
            </w:r>
          </w:p>
        </w:tc>
        <w:tc>
          <w:tcPr>
            <w:tcW w:w="1824" w:type="dxa"/>
            <w:vAlign w:val="top"/>
          </w:tcPr>
          <w:p w14:paraId="15B93766">
            <w:pPr>
              <w:jc w:val="center"/>
            </w:pPr>
            <w:r>
              <w:rPr>
                <w:rFonts w:ascii="仿宋_GB2312" w:hAnsi="仿宋"/>
                <w:sz w:val="24"/>
              </w:rPr>
              <w:t>澳大利亚</w:t>
            </w:r>
          </w:p>
        </w:tc>
        <w:tc>
          <w:tcPr>
            <w:tcW w:w="1823" w:type="dxa"/>
            <w:vAlign w:val="top"/>
          </w:tcPr>
          <w:p w14:paraId="1A0D5B45">
            <w:pPr>
              <w:jc w:val="center"/>
            </w:pPr>
            <w:r>
              <w:rPr>
                <w:rFonts w:ascii="仿宋_GB2312" w:hAnsi="仿宋"/>
                <w:sz w:val="24"/>
              </w:rPr>
              <w:t>中国</w:t>
            </w:r>
          </w:p>
        </w:tc>
        <w:tc>
          <w:tcPr>
            <w:tcW w:w="1823" w:type="dxa"/>
            <w:vAlign w:val="top"/>
          </w:tcPr>
          <w:p w14:paraId="0D7A77C9">
            <w:pPr>
              <w:jc w:val="center"/>
            </w:pPr>
            <w:r>
              <w:rPr>
                <w:rFonts w:ascii="仿宋_GB2312" w:hAnsi="仿宋"/>
                <w:sz w:val="24"/>
              </w:rPr>
              <w:t>3.3</w:t>
            </w:r>
          </w:p>
        </w:tc>
        <w:tc>
          <w:tcPr>
            <w:tcW w:w="1823" w:type="dxa"/>
            <w:vAlign w:val="top"/>
          </w:tcPr>
          <w:p w14:paraId="3F5A6E35">
            <w:pPr>
              <w:jc w:val="center"/>
            </w:pPr>
            <w:r>
              <w:rPr>
                <w:rFonts w:ascii="仿宋_GB2312" w:hAnsi="仿宋"/>
                <w:sz w:val="24"/>
              </w:rPr>
              <w:t>241</w:t>
            </w:r>
          </w:p>
        </w:tc>
      </w:tr>
      <w:tr w14:paraId="724DDD1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3D7FC520">
            <w:pPr>
              <w:jc w:val="center"/>
            </w:pPr>
            <w:r>
              <w:rPr>
                <w:rFonts w:ascii="仿宋_GB2312" w:hAnsi="仿宋"/>
                <w:sz w:val="24"/>
              </w:rPr>
              <w:t>3</w:t>
            </w:r>
          </w:p>
        </w:tc>
        <w:tc>
          <w:tcPr>
            <w:tcW w:w="1824" w:type="dxa"/>
            <w:vAlign w:val="top"/>
          </w:tcPr>
          <w:p w14:paraId="0F97B34A">
            <w:pPr>
              <w:jc w:val="center"/>
            </w:pPr>
            <w:r>
              <w:rPr>
                <w:rFonts w:ascii="仿宋_GB2312" w:hAnsi="仿宋"/>
                <w:sz w:val="24"/>
              </w:rPr>
              <w:t>澳大利亚</w:t>
            </w:r>
          </w:p>
        </w:tc>
        <w:tc>
          <w:tcPr>
            <w:tcW w:w="1823" w:type="dxa"/>
            <w:vAlign w:val="top"/>
          </w:tcPr>
          <w:p w14:paraId="65E349BC">
            <w:pPr>
              <w:jc w:val="center"/>
            </w:pPr>
            <w:r>
              <w:rPr>
                <w:rFonts w:ascii="仿宋_GB2312" w:hAnsi="仿宋"/>
                <w:sz w:val="24"/>
              </w:rPr>
              <w:t>韩国</w:t>
            </w:r>
          </w:p>
        </w:tc>
        <w:tc>
          <w:tcPr>
            <w:tcW w:w="1823" w:type="dxa"/>
            <w:vAlign w:val="top"/>
          </w:tcPr>
          <w:p w14:paraId="497729EC">
            <w:pPr>
              <w:jc w:val="center"/>
            </w:pPr>
            <w:r>
              <w:rPr>
                <w:rFonts w:ascii="仿宋_GB2312" w:hAnsi="仿宋"/>
                <w:sz w:val="24"/>
              </w:rPr>
              <w:t>0.56</w:t>
            </w:r>
          </w:p>
        </w:tc>
        <w:tc>
          <w:tcPr>
            <w:tcW w:w="1823" w:type="dxa"/>
            <w:vAlign w:val="top"/>
          </w:tcPr>
          <w:p w14:paraId="13D6E044">
            <w:pPr>
              <w:jc w:val="center"/>
            </w:pPr>
            <w:r>
              <w:rPr>
                <w:rFonts w:ascii="仿宋_GB2312" w:hAnsi="仿宋"/>
                <w:sz w:val="24"/>
              </w:rPr>
              <w:t>41</w:t>
            </w:r>
          </w:p>
        </w:tc>
      </w:tr>
      <w:tr w14:paraId="26FB001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16E7CD1E">
            <w:pPr>
              <w:jc w:val="center"/>
            </w:pPr>
            <w:r>
              <w:rPr>
                <w:rFonts w:ascii="仿宋_GB2312" w:hAnsi="仿宋"/>
                <w:sz w:val="24"/>
              </w:rPr>
              <w:t>4</w:t>
            </w:r>
          </w:p>
        </w:tc>
        <w:tc>
          <w:tcPr>
            <w:tcW w:w="1824" w:type="dxa"/>
            <w:vAlign w:val="top"/>
          </w:tcPr>
          <w:p w14:paraId="5AFEF6B3">
            <w:pPr>
              <w:jc w:val="center"/>
            </w:pPr>
            <w:r>
              <w:rPr>
                <w:rFonts w:ascii="仿宋_GB2312" w:hAnsi="仿宋"/>
                <w:sz w:val="24"/>
              </w:rPr>
              <w:t>澳大利亚</w:t>
            </w:r>
          </w:p>
        </w:tc>
        <w:tc>
          <w:tcPr>
            <w:tcW w:w="1823" w:type="dxa"/>
            <w:vAlign w:val="top"/>
          </w:tcPr>
          <w:p w14:paraId="71F311B2">
            <w:pPr>
              <w:jc w:val="center"/>
            </w:pPr>
            <w:r>
              <w:rPr>
                <w:rFonts w:ascii="仿宋_GB2312" w:hAnsi="仿宋"/>
                <w:sz w:val="24"/>
              </w:rPr>
              <w:t>中国台湾</w:t>
            </w:r>
          </w:p>
        </w:tc>
        <w:tc>
          <w:tcPr>
            <w:tcW w:w="1823" w:type="dxa"/>
            <w:vAlign w:val="top"/>
          </w:tcPr>
          <w:p w14:paraId="18F2D3A7">
            <w:pPr>
              <w:jc w:val="center"/>
            </w:pPr>
            <w:r>
              <w:rPr>
                <w:rFonts w:ascii="仿宋_GB2312" w:hAnsi="仿宋"/>
                <w:sz w:val="24"/>
              </w:rPr>
              <w:t>0.33</w:t>
            </w:r>
          </w:p>
        </w:tc>
        <w:tc>
          <w:tcPr>
            <w:tcW w:w="1823" w:type="dxa"/>
            <w:vAlign w:val="top"/>
          </w:tcPr>
          <w:p w14:paraId="04B3D545">
            <w:pPr>
              <w:jc w:val="center"/>
            </w:pPr>
            <w:r>
              <w:rPr>
                <w:rFonts w:ascii="仿宋_GB2312" w:hAnsi="仿宋"/>
                <w:sz w:val="24"/>
              </w:rPr>
              <w:t>24</w:t>
            </w:r>
          </w:p>
        </w:tc>
      </w:tr>
      <w:tr w14:paraId="4DCE16C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471" w:type="dxa"/>
            <w:gridSpan w:val="3"/>
            <w:vAlign w:val="top"/>
          </w:tcPr>
          <w:p w14:paraId="33754229">
            <w:pPr>
              <w:jc w:val="center"/>
            </w:pPr>
            <w:r>
              <w:rPr>
                <w:rFonts w:ascii="仿宋_GB2312" w:hAnsi="仿宋"/>
                <w:sz w:val="24"/>
              </w:rPr>
              <w:t>小计</w:t>
            </w:r>
          </w:p>
        </w:tc>
        <w:tc>
          <w:tcPr>
            <w:tcW w:w="1823" w:type="dxa"/>
            <w:vAlign w:val="top"/>
          </w:tcPr>
          <w:p w14:paraId="3363E1EF">
            <w:pPr>
              <w:jc w:val="center"/>
            </w:pPr>
            <w:r>
              <w:rPr>
                <w:rFonts w:ascii="仿宋_GB2312" w:hAnsi="仿宋"/>
                <w:sz w:val="24"/>
              </w:rPr>
              <w:t>20.24</w:t>
            </w:r>
          </w:p>
        </w:tc>
        <w:tc>
          <w:tcPr>
            <w:tcW w:w="1823" w:type="dxa"/>
            <w:vAlign w:val="top"/>
          </w:tcPr>
          <w:p w14:paraId="19D38E1E">
            <w:pPr>
              <w:jc w:val="center"/>
            </w:pPr>
            <w:r>
              <w:rPr>
                <w:rFonts w:ascii="仿宋_GB2312" w:hAnsi="仿宋"/>
                <w:sz w:val="24"/>
              </w:rPr>
              <w:t>1478</w:t>
            </w:r>
          </w:p>
        </w:tc>
      </w:tr>
      <w:tr w14:paraId="012FDB3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1DC15484">
            <w:pPr>
              <w:jc w:val="center"/>
            </w:pPr>
            <w:r>
              <w:rPr>
                <w:rFonts w:ascii="仿宋_GB2312" w:hAnsi="仿宋"/>
                <w:sz w:val="24"/>
              </w:rPr>
              <w:t>5</w:t>
            </w:r>
          </w:p>
        </w:tc>
        <w:tc>
          <w:tcPr>
            <w:tcW w:w="1824" w:type="dxa"/>
            <w:vAlign w:val="top"/>
          </w:tcPr>
          <w:p w14:paraId="340B6983">
            <w:pPr>
              <w:jc w:val="center"/>
            </w:pPr>
            <w:r>
              <w:rPr>
                <w:rFonts w:ascii="仿宋_GB2312" w:hAnsi="仿宋"/>
                <w:sz w:val="24"/>
              </w:rPr>
              <w:t>印度尼西亚</w:t>
            </w:r>
          </w:p>
        </w:tc>
        <w:tc>
          <w:tcPr>
            <w:tcW w:w="1823" w:type="dxa"/>
            <w:vAlign w:val="top"/>
          </w:tcPr>
          <w:p w14:paraId="56FA629F">
            <w:pPr>
              <w:jc w:val="center"/>
            </w:pPr>
            <w:r>
              <w:rPr>
                <w:rFonts w:ascii="仿宋_GB2312" w:hAnsi="仿宋"/>
                <w:sz w:val="24"/>
              </w:rPr>
              <w:t>日本</w:t>
            </w:r>
          </w:p>
        </w:tc>
        <w:tc>
          <w:tcPr>
            <w:tcW w:w="1823" w:type="dxa"/>
            <w:vAlign w:val="top"/>
          </w:tcPr>
          <w:p w14:paraId="6F0A2EC9">
            <w:pPr>
              <w:jc w:val="center"/>
            </w:pPr>
            <w:r>
              <w:rPr>
                <w:rFonts w:ascii="仿宋_GB2312" w:hAnsi="仿宋"/>
                <w:sz w:val="24"/>
              </w:rPr>
              <w:t>18.07</w:t>
            </w:r>
          </w:p>
        </w:tc>
        <w:tc>
          <w:tcPr>
            <w:tcW w:w="1823" w:type="dxa"/>
            <w:vAlign w:val="top"/>
          </w:tcPr>
          <w:p w14:paraId="2328F2FF">
            <w:pPr>
              <w:jc w:val="center"/>
            </w:pPr>
            <w:r>
              <w:rPr>
                <w:rFonts w:ascii="仿宋_GB2312" w:hAnsi="仿宋"/>
                <w:sz w:val="24"/>
              </w:rPr>
              <w:t>1319</w:t>
            </w:r>
          </w:p>
        </w:tc>
      </w:tr>
      <w:tr w14:paraId="56E1B8C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72BB13FD">
            <w:pPr>
              <w:jc w:val="center"/>
            </w:pPr>
            <w:r>
              <w:rPr>
                <w:rFonts w:ascii="仿宋_GB2312" w:hAnsi="仿宋"/>
                <w:sz w:val="24"/>
              </w:rPr>
              <w:t>6</w:t>
            </w:r>
          </w:p>
        </w:tc>
        <w:tc>
          <w:tcPr>
            <w:tcW w:w="1824" w:type="dxa"/>
            <w:vAlign w:val="top"/>
          </w:tcPr>
          <w:p w14:paraId="56192D0C">
            <w:pPr>
              <w:jc w:val="center"/>
            </w:pPr>
            <w:r>
              <w:rPr>
                <w:rFonts w:ascii="仿宋_GB2312" w:hAnsi="仿宋"/>
                <w:sz w:val="24"/>
              </w:rPr>
              <w:t>印度尼西亚</w:t>
            </w:r>
          </w:p>
        </w:tc>
        <w:tc>
          <w:tcPr>
            <w:tcW w:w="1823" w:type="dxa"/>
            <w:vAlign w:val="top"/>
          </w:tcPr>
          <w:p w14:paraId="121383AA">
            <w:pPr>
              <w:jc w:val="center"/>
            </w:pPr>
            <w:r>
              <w:rPr>
                <w:rFonts w:ascii="仿宋_GB2312" w:hAnsi="仿宋"/>
                <w:sz w:val="24"/>
              </w:rPr>
              <w:t>韩国</w:t>
            </w:r>
          </w:p>
        </w:tc>
        <w:tc>
          <w:tcPr>
            <w:tcW w:w="1823" w:type="dxa"/>
            <w:vAlign w:val="top"/>
          </w:tcPr>
          <w:p w14:paraId="5167C417">
            <w:pPr>
              <w:jc w:val="center"/>
            </w:pPr>
            <w:r>
              <w:rPr>
                <w:rFonts w:ascii="仿宋_GB2312" w:hAnsi="仿宋"/>
                <w:sz w:val="24"/>
              </w:rPr>
              <w:t>5.12</w:t>
            </w:r>
          </w:p>
        </w:tc>
        <w:tc>
          <w:tcPr>
            <w:tcW w:w="1823" w:type="dxa"/>
            <w:vAlign w:val="top"/>
          </w:tcPr>
          <w:p w14:paraId="034A5DE4">
            <w:pPr>
              <w:jc w:val="center"/>
            </w:pPr>
            <w:r>
              <w:rPr>
                <w:rFonts w:ascii="仿宋_GB2312" w:hAnsi="仿宋"/>
                <w:sz w:val="24"/>
              </w:rPr>
              <w:t>374</w:t>
            </w:r>
          </w:p>
        </w:tc>
      </w:tr>
      <w:tr w14:paraId="4DF8F2D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0189B3FF">
            <w:pPr>
              <w:jc w:val="center"/>
            </w:pPr>
            <w:r>
              <w:rPr>
                <w:rFonts w:ascii="仿宋_GB2312" w:hAnsi="仿宋"/>
                <w:sz w:val="24"/>
              </w:rPr>
              <w:t>7</w:t>
            </w:r>
          </w:p>
        </w:tc>
        <w:tc>
          <w:tcPr>
            <w:tcW w:w="1824" w:type="dxa"/>
            <w:vAlign w:val="top"/>
          </w:tcPr>
          <w:p w14:paraId="4DA49034">
            <w:pPr>
              <w:jc w:val="center"/>
            </w:pPr>
            <w:r>
              <w:rPr>
                <w:rFonts w:ascii="仿宋_GB2312" w:hAnsi="仿宋"/>
                <w:sz w:val="24"/>
              </w:rPr>
              <w:t>印度尼西亚</w:t>
            </w:r>
          </w:p>
        </w:tc>
        <w:tc>
          <w:tcPr>
            <w:tcW w:w="1823" w:type="dxa"/>
            <w:vAlign w:val="top"/>
          </w:tcPr>
          <w:p w14:paraId="370F1834">
            <w:pPr>
              <w:jc w:val="center"/>
            </w:pPr>
            <w:r>
              <w:rPr>
                <w:rFonts w:ascii="仿宋_GB2312" w:hAnsi="仿宋"/>
                <w:sz w:val="24"/>
              </w:rPr>
              <w:t>中国台湾</w:t>
            </w:r>
          </w:p>
        </w:tc>
        <w:tc>
          <w:tcPr>
            <w:tcW w:w="1823" w:type="dxa"/>
            <w:vAlign w:val="top"/>
          </w:tcPr>
          <w:p w14:paraId="5154582B">
            <w:pPr>
              <w:jc w:val="center"/>
            </w:pPr>
            <w:r>
              <w:rPr>
                <w:rFonts w:ascii="仿宋_GB2312" w:hAnsi="仿宋"/>
                <w:sz w:val="24"/>
              </w:rPr>
              <w:t>4.55</w:t>
            </w:r>
          </w:p>
        </w:tc>
        <w:tc>
          <w:tcPr>
            <w:tcW w:w="1823" w:type="dxa"/>
            <w:vAlign w:val="top"/>
          </w:tcPr>
          <w:p w14:paraId="4D0F057B">
            <w:pPr>
              <w:jc w:val="center"/>
            </w:pPr>
            <w:r>
              <w:rPr>
                <w:rFonts w:ascii="仿宋_GB2312" w:hAnsi="仿宋"/>
                <w:sz w:val="24"/>
              </w:rPr>
              <w:t>332</w:t>
            </w:r>
          </w:p>
        </w:tc>
      </w:tr>
      <w:tr w14:paraId="1ACAB06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471" w:type="dxa"/>
            <w:gridSpan w:val="3"/>
            <w:vAlign w:val="top"/>
          </w:tcPr>
          <w:p w14:paraId="3E103FA6">
            <w:pPr>
              <w:jc w:val="center"/>
            </w:pPr>
            <w:r>
              <w:rPr>
                <w:rFonts w:ascii="仿宋_GB2312" w:hAnsi="仿宋"/>
                <w:sz w:val="24"/>
              </w:rPr>
              <w:t>小计</w:t>
            </w:r>
          </w:p>
        </w:tc>
        <w:tc>
          <w:tcPr>
            <w:tcW w:w="1823" w:type="dxa"/>
            <w:vAlign w:val="top"/>
          </w:tcPr>
          <w:p w14:paraId="632A1593">
            <w:pPr>
              <w:jc w:val="center"/>
            </w:pPr>
            <w:r>
              <w:rPr>
                <w:rFonts w:ascii="仿宋_GB2312" w:hAnsi="仿宋"/>
                <w:sz w:val="24"/>
              </w:rPr>
              <w:t>27.74</w:t>
            </w:r>
          </w:p>
        </w:tc>
        <w:tc>
          <w:tcPr>
            <w:tcW w:w="1823" w:type="dxa"/>
            <w:vAlign w:val="top"/>
          </w:tcPr>
          <w:p w14:paraId="7B2D9F69">
            <w:pPr>
              <w:jc w:val="center"/>
            </w:pPr>
            <w:r>
              <w:rPr>
                <w:rFonts w:ascii="仿宋_GB2312" w:hAnsi="仿宋"/>
                <w:sz w:val="24"/>
              </w:rPr>
              <w:t>2025</w:t>
            </w:r>
          </w:p>
        </w:tc>
      </w:tr>
      <w:tr w14:paraId="4D2F76A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5A6170C9">
            <w:pPr>
              <w:jc w:val="center"/>
            </w:pPr>
            <w:r>
              <w:rPr>
                <w:rFonts w:ascii="仿宋_GB2312" w:hAnsi="仿宋"/>
                <w:sz w:val="24"/>
              </w:rPr>
              <w:t>8</w:t>
            </w:r>
          </w:p>
        </w:tc>
        <w:tc>
          <w:tcPr>
            <w:tcW w:w="1824" w:type="dxa"/>
            <w:vAlign w:val="top"/>
          </w:tcPr>
          <w:p w14:paraId="6C3F079B">
            <w:pPr>
              <w:jc w:val="center"/>
            </w:pPr>
            <w:r>
              <w:rPr>
                <w:rFonts w:ascii="仿宋_GB2312" w:hAnsi="仿宋"/>
                <w:sz w:val="24"/>
              </w:rPr>
              <w:t>马来西亚</w:t>
            </w:r>
          </w:p>
        </w:tc>
        <w:tc>
          <w:tcPr>
            <w:tcW w:w="1823" w:type="dxa"/>
            <w:vAlign w:val="top"/>
          </w:tcPr>
          <w:p w14:paraId="682F610B">
            <w:pPr>
              <w:jc w:val="center"/>
            </w:pPr>
            <w:r>
              <w:rPr>
                <w:rFonts w:ascii="仿宋_GB2312" w:hAnsi="仿宋"/>
                <w:sz w:val="24"/>
              </w:rPr>
              <w:t>日本</w:t>
            </w:r>
          </w:p>
        </w:tc>
        <w:tc>
          <w:tcPr>
            <w:tcW w:w="1823" w:type="dxa"/>
            <w:vAlign w:val="top"/>
          </w:tcPr>
          <w:p w14:paraId="373F72DE">
            <w:pPr>
              <w:jc w:val="center"/>
            </w:pPr>
            <w:r>
              <w:rPr>
                <w:rFonts w:ascii="仿宋_GB2312" w:hAnsi="仿宋"/>
                <w:sz w:val="24"/>
              </w:rPr>
              <w:t>17.65</w:t>
            </w:r>
          </w:p>
        </w:tc>
        <w:tc>
          <w:tcPr>
            <w:tcW w:w="1823" w:type="dxa"/>
            <w:vAlign w:val="top"/>
          </w:tcPr>
          <w:p w14:paraId="4DE82CFC">
            <w:pPr>
              <w:jc w:val="center"/>
            </w:pPr>
            <w:r>
              <w:rPr>
                <w:rFonts w:ascii="仿宋_GB2312" w:hAnsi="仿宋"/>
                <w:sz w:val="24"/>
              </w:rPr>
              <w:t>1288</w:t>
            </w:r>
          </w:p>
        </w:tc>
      </w:tr>
      <w:tr w14:paraId="627345A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2579B1F8">
            <w:pPr>
              <w:jc w:val="center"/>
            </w:pPr>
            <w:r>
              <w:rPr>
                <w:rFonts w:ascii="仿宋_GB2312" w:hAnsi="仿宋"/>
                <w:sz w:val="24"/>
              </w:rPr>
              <w:t>9</w:t>
            </w:r>
          </w:p>
        </w:tc>
        <w:tc>
          <w:tcPr>
            <w:tcW w:w="1824" w:type="dxa"/>
            <w:vAlign w:val="top"/>
          </w:tcPr>
          <w:p w14:paraId="2789BE3D">
            <w:pPr>
              <w:jc w:val="center"/>
            </w:pPr>
            <w:r>
              <w:rPr>
                <w:rFonts w:ascii="仿宋_GB2312" w:hAnsi="仿宋"/>
                <w:sz w:val="24"/>
              </w:rPr>
              <w:t>马来西亚</w:t>
            </w:r>
          </w:p>
        </w:tc>
        <w:tc>
          <w:tcPr>
            <w:tcW w:w="1823" w:type="dxa"/>
            <w:vAlign w:val="top"/>
          </w:tcPr>
          <w:p w14:paraId="2A643BEF">
            <w:pPr>
              <w:jc w:val="center"/>
            </w:pPr>
            <w:r>
              <w:rPr>
                <w:rFonts w:ascii="仿宋_GB2312" w:hAnsi="仿宋"/>
                <w:sz w:val="24"/>
              </w:rPr>
              <w:t>韩国</w:t>
            </w:r>
          </w:p>
        </w:tc>
        <w:tc>
          <w:tcPr>
            <w:tcW w:w="1823" w:type="dxa"/>
            <w:vAlign w:val="top"/>
          </w:tcPr>
          <w:p w14:paraId="4D22ED34">
            <w:pPr>
              <w:jc w:val="center"/>
            </w:pPr>
            <w:r>
              <w:rPr>
                <w:rFonts w:ascii="仿宋_GB2312" w:hAnsi="仿宋"/>
                <w:sz w:val="24"/>
              </w:rPr>
              <w:t>8.15</w:t>
            </w:r>
          </w:p>
        </w:tc>
        <w:tc>
          <w:tcPr>
            <w:tcW w:w="1823" w:type="dxa"/>
            <w:vAlign w:val="top"/>
          </w:tcPr>
          <w:p w14:paraId="4E170830">
            <w:pPr>
              <w:jc w:val="center"/>
            </w:pPr>
            <w:r>
              <w:rPr>
                <w:rFonts w:ascii="仿宋_GB2312" w:hAnsi="仿宋"/>
                <w:sz w:val="24"/>
              </w:rPr>
              <w:t>595</w:t>
            </w:r>
          </w:p>
        </w:tc>
      </w:tr>
      <w:tr w14:paraId="44C5BA5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0A515004">
            <w:pPr>
              <w:jc w:val="center"/>
            </w:pPr>
            <w:r>
              <w:rPr>
                <w:rFonts w:ascii="仿宋_GB2312" w:hAnsi="仿宋"/>
                <w:sz w:val="24"/>
              </w:rPr>
              <w:t>10</w:t>
            </w:r>
          </w:p>
        </w:tc>
        <w:tc>
          <w:tcPr>
            <w:tcW w:w="1824" w:type="dxa"/>
            <w:vAlign w:val="top"/>
          </w:tcPr>
          <w:p w14:paraId="05A0E032">
            <w:pPr>
              <w:jc w:val="center"/>
            </w:pPr>
            <w:r>
              <w:rPr>
                <w:rFonts w:ascii="仿宋_GB2312" w:hAnsi="仿宋"/>
                <w:sz w:val="24"/>
              </w:rPr>
              <w:t>马来西亚</w:t>
            </w:r>
          </w:p>
        </w:tc>
        <w:tc>
          <w:tcPr>
            <w:tcW w:w="1823" w:type="dxa"/>
            <w:vAlign w:val="top"/>
          </w:tcPr>
          <w:p w14:paraId="22393BED">
            <w:pPr>
              <w:jc w:val="center"/>
            </w:pPr>
            <w:r>
              <w:rPr>
                <w:rFonts w:ascii="仿宋_GB2312" w:hAnsi="仿宋"/>
                <w:sz w:val="24"/>
              </w:rPr>
              <w:t>中国台湾</w:t>
            </w:r>
          </w:p>
        </w:tc>
        <w:tc>
          <w:tcPr>
            <w:tcW w:w="1823" w:type="dxa"/>
            <w:vAlign w:val="top"/>
          </w:tcPr>
          <w:p w14:paraId="762806F0">
            <w:pPr>
              <w:jc w:val="center"/>
            </w:pPr>
            <w:r>
              <w:rPr>
                <w:rFonts w:ascii="仿宋_GB2312" w:hAnsi="仿宋"/>
                <w:sz w:val="24"/>
              </w:rPr>
              <w:t>3.92</w:t>
            </w:r>
          </w:p>
        </w:tc>
        <w:tc>
          <w:tcPr>
            <w:tcW w:w="1823" w:type="dxa"/>
            <w:vAlign w:val="top"/>
          </w:tcPr>
          <w:p w14:paraId="5AF83578">
            <w:pPr>
              <w:jc w:val="center"/>
            </w:pPr>
            <w:r>
              <w:rPr>
                <w:rFonts w:ascii="仿宋_GB2312" w:hAnsi="仿宋"/>
                <w:sz w:val="24"/>
              </w:rPr>
              <w:t>286</w:t>
            </w:r>
          </w:p>
        </w:tc>
      </w:tr>
      <w:tr w14:paraId="27CD871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471" w:type="dxa"/>
            <w:gridSpan w:val="3"/>
            <w:vAlign w:val="top"/>
          </w:tcPr>
          <w:p w14:paraId="51D82807">
            <w:pPr>
              <w:jc w:val="center"/>
            </w:pPr>
            <w:r>
              <w:rPr>
                <w:rFonts w:ascii="仿宋_GB2312" w:hAnsi="仿宋"/>
                <w:sz w:val="24"/>
              </w:rPr>
              <w:t>小计</w:t>
            </w:r>
          </w:p>
        </w:tc>
        <w:tc>
          <w:tcPr>
            <w:tcW w:w="1823" w:type="dxa"/>
            <w:vAlign w:val="top"/>
          </w:tcPr>
          <w:p w14:paraId="3A80EBAA">
            <w:pPr>
              <w:jc w:val="center"/>
            </w:pPr>
            <w:r>
              <w:rPr>
                <w:rFonts w:ascii="仿宋_GB2312" w:hAnsi="仿宋"/>
                <w:sz w:val="24"/>
              </w:rPr>
              <w:t>29.72</w:t>
            </w:r>
          </w:p>
        </w:tc>
        <w:tc>
          <w:tcPr>
            <w:tcW w:w="1823" w:type="dxa"/>
            <w:vAlign w:val="top"/>
          </w:tcPr>
          <w:p w14:paraId="088A5A37">
            <w:pPr>
              <w:jc w:val="center"/>
            </w:pPr>
            <w:r>
              <w:rPr>
                <w:rFonts w:ascii="仿宋_GB2312" w:hAnsi="仿宋"/>
                <w:sz w:val="24"/>
              </w:rPr>
              <w:t>2170</w:t>
            </w:r>
          </w:p>
        </w:tc>
      </w:tr>
      <w:tr w14:paraId="7243B16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4548B851">
            <w:pPr>
              <w:jc w:val="center"/>
            </w:pPr>
            <w:r>
              <w:rPr>
                <w:rFonts w:ascii="仿宋_GB2312" w:hAnsi="仿宋"/>
                <w:sz w:val="24"/>
              </w:rPr>
              <w:t>11</w:t>
            </w:r>
          </w:p>
        </w:tc>
        <w:tc>
          <w:tcPr>
            <w:tcW w:w="1824" w:type="dxa"/>
            <w:vAlign w:val="top"/>
          </w:tcPr>
          <w:p w14:paraId="0FAFC9DD">
            <w:pPr>
              <w:jc w:val="center"/>
            </w:pPr>
            <w:r>
              <w:rPr>
                <w:rFonts w:ascii="仿宋_GB2312" w:hAnsi="仿宋"/>
                <w:sz w:val="24"/>
              </w:rPr>
              <w:t>中东</w:t>
            </w:r>
          </w:p>
        </w:tc>
        <w:tc>
          <w:tcPr>
            <w:tcW w:w="1823" w:type="dxa"/>
            <w:vAlign w:val="top"/>
          </w:tcPr>
          <w:p w14:paraId="29680611">
            <w:pPr>
              <w:jc w:val="center"/>
            </w:pPr>
            <w:r>
              <w:rPr>
                <w:rFonts w:ascii="仿宋_GB2312" w:hAnsi="仿宋"/>
                <w:sz w:val="24"/>
              </w:rPr>
              <w:t>日本</w:t>
            </w:r>
          </w:p>
        </w:tc>
        <w:tc>
          <w:tcPr>
            <w:tcW w:w="1823" w:type="dxa"/>
            <w:vAlign w:val="top"/>
          </w:tcPr>
          <w:p w14:paraId="45318F87">
            <w:pPr>
              <w:jc w:val="center"/>
            </w:pPr>
            <w:r>
              <w:rPr>
                <w:rFonts w:ascii="仿宋_GB2312" w:hAnsi="仿宋"/>
                <w:sz w:val="24"/>
              </w:rPr>
              <w:t>26.73</w:t>
            </w:r>
          </w:p>
        </w:tc>
        <w:tc>
          <w:tcPr>
            <w:tcW w:w="1823" w:type="dxa"/>
            <w:vAlign w:val="top"/>
          </w:tcPr>
          <w:p w14:paraId="482CFC79">
            <w:pPr>
              <w:jc w:val="center"/>
            </w:pPr>
            <w:r>
              <w:rPr>
                <w:rFonts w:ascii="仿宋_GB2312" w:hAnsi="仿宋"/>
                <w:sz w:val="24"/>
              </w:rPr>
              <w:t>1951</w:t>
            </w:r>
          </w:p>
        </w:tc>
      </w:tr>
      <w:tr w14:paraId="6D23E1F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1A61BE19">
            <w:pPr>
              <w:jc w:val="center"/>
            </w:pPr>
            <w:r>
              <w:rPr>
                <w:rFonts w:ascii="仿宋_GB2312" w:hAnsi="仿宋"/>
                <w:sz w:val="24"/>
              </w:rPr>
              <w:t>12</w:t>
            </w:r>
          </w:p>
        </w:tc>
        <w:tc>
          <w:tcPr>
            <w:tcW w:w="1824" w:type="dxa"/>
            <w:vAlign w:val="top"/>
          </w:tcPr>
          <w:p w14:paraId="703B9285">
            <w:pPr>
              <w:jc w:val="center"/>
            </w:pPr>
            <w:r>
              <w:rPr>
                <w:rFonts w:ascii="仿宋_GB2312" w:hAnsi="仿宋"/>
                <w:sz w:val="24"/>
              </w:rPr>
              <w:t>中东</w:t>
            </w:r>
          </w:p>
        </w:tc>
        <w:tc>
          <w:tcPr>
            <w:tcW w:w="1823" w:type="dxa"/>
            <w:vAlign w:val="top"/>
          </w:tcPr>
          <w:p w14:paraId="0D5CC158">
            <w:pPr>
              <w:jc w:val="center"/>
            </w:pPr>
            <w:r>
              <w:rPr>
                <w:rFonts w:ascii="仿宋_GB2312" w:hAnsi="仿宋"/>
                <w:sz w:val="24"/>
              </w:rPr>
              <w:t>韩国</w:t>
            </w:r>
          </w:p>
        </w:tc>
        <w:tc>
          <w:tcPr>
            <w:tcW w:w="1823" w:type="dxa"/>
            <w:vAlign w:val="top"/>
          </w:tcPr>
          <w:p w14:paraId="60B94480">
            <w:pPr>
              <w:jc w:val="center"/>
            </w:pPr>
            <w:r>
              <w:rPr>
                <w:rFonts w:ascii="仿宋_GB2312" w:hAnsi="仿宋"/>
                <w:sz w:val="24"/>
              </w:rPr>
              <w:t>19.56</w:t>
            </w:r>
          </w:p>
        </w:tc>
        <w:tc>
          <w:tcPr>
            <w:tcW w:w="1823" w:type="dxa"/>
            <w:vAlign w:val="top"/>
          </w:tcPr>
          <w:p w14:paraId="643DC39D">
            <w:pPr>
              <w:jc w:val="center"/>
            </w:pPr>
            <w:r>
              <w:rPr>
                <w:rFonts w:ascii="仿宋_GB2312" w:hAnsi="仿宋"/>
                <w:sz w:val="24"/>
              </w:rPr>
              <w:t>1428</w:t>
            </w:r>
          </w:p>
        </w:tc>
      </w:tr>
      <w:tr w14:paraId="1D6416A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0EBAE9D7">
            <w:pPr>
              <w:jc w:val="center"/>
            </w:pPr>
            <w:r>
              <w:rPr>
                <w:rFonts w:ascii="仿宋_GB2312" w:hAnsi="仿宋"/>
                <w:sz w:val="24"/>
              </w:rPr>
              <w:t>13</w:t>
            </w:r>
          </w:p>
        </w:tc>
        <w:tc>
          <w:tcPr>
            <w:tcW w:w="1824" w:type="dxa"/>
            <w:vAlign w:val="top"/>
          </w:tcPr>
          <w:p w14:paraId="7A81EEAE">
            <w:pPr>
              <w:jc w:val="center"/>
            </w:pPr>
            <w:r>
              <w:rPr>
                <w:rFonts w:ascii="仿宋_GB2312" w:hAnsi="仿宋"/>
                <w:sz w:val="24"/>
              </w:rPr>
              <w:t>中东</w:t>
            </w:r>
          </w:p>
        </w:tc>
        <w:tc>
          <w:tcPr>
            <w:tcW w:w="1823" w:type="dxa"/>
            <w:vAlign w:val="top"/>
          </w:tcPr>
          <w:p w14:paraId="420FF8E6">
            <w:pPr>
              <w:jc w:val="center"/>
            </w:pPr>
            <w:r>
              <w:rPr>
                <w:rFonts w:ascii="仿宋_GB2312" w:hAnsi="仿宋"/>
                <w:sz w:val="24"/>
              </w:rPr>
              <w:t>中国</w:t>
            </w:r>
          </w:p>
        </w:tc>
        <w:tc>
          <w:tcPr>
            <w:tcW w:w="1823" w:type="dxa"/>
            <w:vAlign w:val="top"/>
          </w:tcPr>
          <w:p w14:paraId="3B4B5AC9">
            <w:pPr>
              <w:jc w:val="center"/>
            </w:pPr>
            <w:r>
              <w:rPr>
                <w:rFonts w:ascii="仿宋_GB2312" w:hAnsi="仿宋"/>
                <w:sz w:val="24"/>
              </w:rPr>
              <w:t>0.57</w:t>
            </w:r>
          </w:p>
        </w:tc>
        <w:tc>
          <w:tcPr>
            <w:tcW w:w="1823" w:type="dxa"/>
            <w:vAlign w:val="top"/>
          </w:tcPr>
          <w:p w14:paraId="7ADFD03A">
            <w:pPr>
              <w:jc w:val="center"/>
            </w:pPr>
            <w:r>
              <w:rPr>
                <w:rFonts w:ascii="仿宋_GB2312" w:hAnsi="仿宋"/>
                <w:sz w:val="24"/>
              </w:rPr>
              <w:t>42</w:t>
            </w:r>
          </w:p>
        </w:tc>
      </w:tr>
      <w:tr w14:paraId="3552BE1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1824" w:type="dxa"/>
            <w:vAlign w:val="top"/>
          </w:tcPr>
          <w:p w14:paraId="2D98FAFE">
            <w:pPr>
              <w:jc w:val="center"/>
            </w:pPr>
            <w:r>
              <w:rPr>
                <w:rFonts w:ascii="仿宋_GB2312" w:hAnsi="仿宋"/>
                <w:sz w:val="24"/>
              </w:rPr>
              <w:t>14</w:t>
            </w:r>
          </w:p>
        </w:tc>
        <w:tc>
          <w:tcPr>
            <w:tcW w:w="1824" w:type="dxa"/>
            <w:vAlign w:val="top"/>
          </w:tcPr>
          <w:p w14:paraId="0FA88217">
            <w:pPr>
              <w:jc w:val="center"/>
            </w:pPr>
            <w:r>
              <w:rPr>
                <w:rFonts w:ascii="仿宋_GB2312" w:hAnsi="仿宋"/>
                <w:sz w:val="24"/>
              </w:rPr>
              <w:t>中东</w:t>
            </w:r>
          </w:p>
        </w:tc>
        <w:tc>
          <w:tcPr>
            <w:tcW w:w="1823" w:type="dxa"/>
            <w:vAlign w:val="top"/>
          </w:tcPr>
          <w:p w14:paraId="3CB55AF7">
            <w:pPr>
              <w:jc w:val="center"/>
            </w:pPr>
            <w:r>
              <w:rPr>
                <w:rFonts w:ascii="仿宋_GB2312" w:hAnsi="仿宋"/>
                <w:sz w:val="24"/>
              </w:rPr>
              <w:t>中国台湾</w:t>
            </w:r>
          </w:p>
        </w:tc>
        <w:tc>
          <w:tcPr>
            <w:tcW w:w="1823" w:type="dxa"/>
            <w:vAlign w:val="top"/>
          </w:tcPr>
          <w:p w14:paraId="19566A9C">
            <w:pPr>
              <w:jc w:val="center"/>
            </w:pPr>
            <w:r>
              <w:rPr>
                <w:rFonts w:ascii="仿宋_GB2312" w:hAnsi="仿宋"/>
                <w:sz w:val="24"/>
              </w:rPr>
              <w:t>2.12</w:t>
            </w:r>
          </w:p>
        </w:tc>
        <w:tc>
          <w:tcPr>
            <w:tcW w:w="1823" w:type="dxa"/>
            <w:vAlign w:val="top"/>
          </w:tcPr>
          <w:p w14:paraId="390E36A0">
            <w:pPr>
              <w:jc w:val="center"/>
            </w:pPr>
            <w:r>
              <w:rPr>
                <w:rFonts w:ascii="仿宋_GB2312" w:hAnsi="仿宋"/>
                <w:sz w:val="24"/>
              </w:rPr>
              <w:t>155</w:t>
            </w:r>
          </w:p>
        </w:tc>
      </w:tr>
      <w:tr w14:paraId="038E398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471" w:type="dxa"/>
            <w:gridSpan w:val="3"/>
            <w:vAlign w:val="top"/>
          </w:tcPr>
          <w:p w14:paraId="70C6A8B1">
            <w:pPr>
              <w:jc w:val="center"/>
            </w:pPr>
            <w:r>
              <w:rPr>
                <w:rFonts w:ascii="仿宋_GB2312" w:hAnsi="仿宋"/>
                <w:sz w:val="24"/>
              </w:rPr>
              <w:t>小计</w:t>
            </w:r>
          </w:p>
        </w:tc>
        <w:tc>
          <w:tcPr>
            <w:tcW w:w="1823" w:type="dxa"/>
            <w:vAlign w:val="top"/>
          </w:tcPr>
          <w:p w14:paraId="3E3A8BD4">
            <w:pPr>
              <w:jc w:val="center"/>
            </w:pPr>
            <w:r>
              <w:rPr>
                <w:rFonts w:ascii="仿宋_GB2312" w:hAnsi="仿宋"/>
                <w:sz w:val="24"/>
              </w:rPr>
              <w:t>48.98</w:t>
            </w:r>
          </w:p>
        </w:tc>
        <w:tc>
          <w:tcPr>
            <w:tcW w:w="1823" w:type="dxa"/>
            <w:vAlign w:val="top"/>
          </w:tcPr>
          <w:p w14:paraId="68C9DA67">
            <w:pPr>
              <w:jc w:val="center"/>
            </w:pPr>
            <w:r>
              <w:rPr>
                <w:rFonts w:ascii="仿宋_GB2312" w:hAnsi="仿宋"/>
                <w:sz w:val="24"/>
              </w:rPr>
              <w:t>3576</w:t>
            </w:r>
          </w:p>
        </w:tc>
      </w:tr>
      <w:tr w14:paraId="4029DF7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471" w:type="dxa"/>
            <w:gridSpan w:val="3"/>
            <w:vAlign w:val="top"/>
          </w:tcPr>
          <w:p w14:paraId="7F905D0B">
            <w:pPr>
              <w:jc w:val="center"/>
            </w:pPr>
            <w:r>
              <w:rPr>
                <w:rFonts w:ascii="仿宋_GB2312" w:hAnsi="仿宋"/>
                <w:sz w:val="24"/>
              </w:rPr>
              <w:t>合计</w:t>
            </w:r>
          </w:p>
        </w:tc>
        <w:tc>
          <w:tcPr>
            <w:tcW w:w="1823" w:type="dxa"/>
            <w:vAlign w:val="top"/>
          </w:tcPr>
          <w:p w14:paraId="762693D9">
            <w:pPr>
              <w:jc w:val="center"/>
            </w:pPr>
            <w:r>
              <w:rPr>
                <w:rFonts w:ascii="仿宋_GB2312" w:hAnsi="仿宋"/>
                <w:sz w:val="24"/>
              </w:rPr>
              <w:t>126.68</w:t>
            </w:r>
          </w:p>
        </w:tc>
        <w:tc>
          <w:tcPr>
            <w:tcW w:w="1823" w:type="dxa"/>
            <w:vAlign w:val="top"/>
          </w:tcPr>
          <w:p w14:paraId="64DB4282">
            <w:pPr>
              <w:jc w:val="center"/>
            </w:pPr>
            <w:r>
              <w:rPr>
                <w:rFonts w:ascii="仿宋_GB2312" w:hAnsi="仿宋"/>
                <w:sz w:val="24"/>
              </w:rPr>
              <w:t>9248</w:t>
            </w:r>
          </w:p>
        </w:tc>
      </w:tr>
    </w:tbl>
    <w:p w14:paraId="4212790F">
      <w:pPr>
        <w:jc w:val="center"/>
        <w:rPr>
          <w:rFonts w:ascii="仿宋_GB2312" w:hAnsi="仿宋"/>
          <w:sz w:val="24"/>
        </w:rPr>
      </w:pPr>
    </w:p>
    <w:p w14:paraId="3AEB8396">
      <w:pPr>
        <w:ind w:firstLine="548"/>
      </w:pPr>
      <w:r>
        <w:rPr>
          <w:rFonts w:ascii="仿宋_GB2312" w:hAnsi="仿宋"/>
          <w:sz w:val="29"/>
        </w:rPr>
        <w:t>其中，印度尼西亚、马来西亚出口占总贸易量的45.36%，中东出口占38.66%，澳大利亚出口占15.98%。东北亚LNG贸易量占到全球贸易量的23.05%。</w:t>
      </w:r>
    </w:p>
    <w:p w14:paraId="362E43B8">
      <w:pPr>
        <w:spacing w:line="600" w:lineRule="exact"/>
        <w:ind w:firstLine="548"/>
      </w:pPr>
      <w:r>
        <w:rPr>
          <w:rFonts w:ascii="仿宋_GB2312" w:hAnsi="仿宋"/>
          <w:sz w:val="29"/>
        </w:rPr>
        <w:t>3、全球LNG生产能力现状及预测</w:t>
      </w:r>
    </w:p>
    <w:p w14:paraId="6F532B37">
      <w:pPr>
        <w:spacing w:line="600" w:lineRule="exact"/>
        <w:ind w:firstLine="548"/>
      </w:pPr>
      <w:r>
        <w:rPr>
          <w:rFonts w:ascii="仿宋_GB2312" w:hAnsi="仿宋"/>
          <w:sz w:val="29"/>
        </w:rPr>
        <w:t>根据Argus的相关资料，卡塔尔已投入大量资金进行LNG液化工厂的基础设施建设，将由目前的2050万吨生产能力提高到7300万吨，成为世界LNG供应的主要出口国。澳大利亚正陆续建设NWS Venture、Greater Sunrise、Gorgon、Browse等项目，预计2012年总的供应能力达到5800万吨。伊朗也将在LNG市场占有一席之地，潜在的生产能力约为4000万吨，受政治地缘影响，供应存在较大的不确定性。分析表明，2015年前后，世界上LNG的进口国为15个，出口国将增至25个以上，年产能可达到41551万吨。部分国家LNG产能预测见表3-2。</w:t>
      </w:r>
    </w:p>
    <w:p w14:paraId="557D2325">
      <w:pPr>
        <w:spacing w:line="600" w:lineRule="exact"/>
        <w:ind w:firstLine="548"/>
        <w:rPr>
          <w:rFonts w:ascii="仿宋_GB2312" w:hAnsi="仿宋"/>
          <w:sz w:val="29"/>
        </w:rPr>
      </w:pPr>
    </w:p>
    <w:p w14:paraId="759E24C0">
      <w:pPr>
        <w:spacing w:line="600" w:lineRule="exact"/>
        <w:ind w:firstLine="397"/>
        <w:jc w:val="center"/>
      </w:pPr>
      <w:r>
        <w:rPr>
          <w:rFonts w:ascii="仿宋_GB2312" w:hAnsi="仿宋"/>
          <w:szCs w:val="21"/>
        </w:rPr>
        <w:t xml:space="preserve">3-2 </w:t>
      </w:r>
      <w:r>
        <w:rPr>
          <w:rFonts w:ascii="仿宋_GB2312" w:hAnsi="仿宋"/>
          <w:sz w:val="29"/>
        </w:rPr>
        <w:t xml:space="preserve"> </w:t>
      </w:r>
      <w:r>
        <w:rPr>
          <w:rFonts w:ascii="仿宋_GB2312" w:hAnsi="仿宋"/>
          <w:sz w:val="24"/>
        </w:rPr>
        <w:t>部分国家LNG产能预测统计表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2280"/>
        <w:gridCol w:w="2279"/>
        <w:gridCol w:w="2279"/>
        <w:gridCol w:w="2279"/>
      </w:tblGrid>
      <w:tr w14:paraId="3844DC9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center"/>
          </w:tcPr>
          <w:p w14:paraId="7177BAA1">
            <w:pPr>
              <w:jc w:val="center"/>
            </w:pPr>
            <w:r>
              <w:rPr>
                <w:rFonts w:ascii="仿宋_GB2312" w:hAnsi="仿宋"/>
                <w:sz w:val="24"/>
              </w:rPr>
              <w:t>国家</w:t>
            </w:r>
          </w:p>
        </w:tc>
        <w:tc>
          <w:tcPr>
            <w:tcW w:w="2279" w:type="dxa"/>
            <w:vAlign w:val="center"/>
          </w:tcPr>
          <w:p w14:paraId="30AEA61A">
            <w:pPr>
              <w:jc w:val="center"/>
            </w:pPr>
            <w:r>
              <w:rPr>
                <w:rFonts w:ascii="仿宋_GB2312" w:hAnsi="仿宋"/>
                <w:sz w:val="24"/>
              </w:rPr>
              <w:t>现有产能（万吨）</w:t>
            </w:r>
          </w:p>
        </w:tc>
        <w:tc>
          <w:tcPr>
            <w:tcW w:w="2279" w:type="dxa"/>
            <w:vAlign w:val="top"/>
          </w:tcPr>
          <w:p w14:paraId="7C435937">
            <w:pPr>
              <w:jc w:val="center"/>
            </w:pPr>
            <w:r>
              <w:rPr>
                <w:rFonts w:ascii="仿宋_GB2312" w:hAnsi="仿宋"/>
                <w:sz w:val="24"/>
              </w:rPr>
              <w:t>在建和2015年前计划投产的产能</w:t>
            </w:r>
          </w:p>
          <w:p w14:paraId="626FE68D">
            <w:pPr>
              <w:jc w:val="center"/>
            </w:pPr>
            <w:r>
              <w:rPr>
                <w:rFonts w:ascii="仿宋_GB2312" w:hAnsi="仿宋"/>
                <w:sz w:val="24"/>
              </w:rPr>
              <w:t>（万吨）</w:t>
            </w:r>
          </w:p>
        </w:tc>
        <w:tc>
          <w:tcPr>
            <w:tcW w:w="2279" w:type="dxa"/>
            <w:vAlign w:val="top"/>
          </w:tcPr>
          <w:p w14:paraId="38013DD2">
            <w:pPr>
              <w:jc w:val="center"/>
            </w:pPr>
            <w:r>
              <w:rPr>
                <w:rFonts w:ascii="仿宋_GB2312" w:hAnsi="仿宋"/>
                <w:sz w:val="24"/>
              </w:rPr>
              <w:t>2015年产能</w:t>
            </w:r>
          </w:p>
          <w:p w14:paraId="6D59E090">
            <w:pPr>
              <w:jc w:val="center"/>
            </w:pPr>
            <w:r>
              <w:rPr>
                <w:rFonts w:ascii="仿宋_GB2312" w:hAnsi="仿宋"/>
                <w:sz w:val="24"/>
              </w:rPr>
              <w:t>合计（万吨）</w:t>
            </w:r>
          </w:p>
        </w:tc>
      </w:tr>
      <w:tr w14:paraId="19A6BE6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308E137C">
            <w:r>
              <w:rPr>
                <w:rFonts w:ascii="仿宋_GB2312" w:hAnsi="仿宋"/>
                <w:sz w:val="24"/>
              </w:rPr>
              <w:t>印度尼西亚</w:t>
            </w:r>
          </w:p>
        </w:tc>
        <w:tc>
          <w:tcPr>
            <w:tcW w:w="2279" w:type="dxa"/>
            <w:vAlign w:val="top"/>
          </w:tcPr>
          <w:p w14:paraId="32CA0BDD">
            <w:pPr>
              <w:jc w:val="center"/>
            </w:pPr>
            <w:r>
              <w:rPr>
                <w:rFonts w:ascii="仿宋_GB2312" w:hAnsi="仿宋"/>
                <w:sz w:val="24"/>
              </w:rPr>
              <w:t>2930</w:t>
            </w:r>
          </w:p>
        </w:tc>
        <w:tc>
          <w:tcPr>
            <w:tcW w:w="2279" w:type="dxa"/>
            <w:vAlign w:val="top"/>
          </w:tcPr>
          <w:p w14:paraId="088DAAB4">
            <w:pPr>
              <w:jc w:val="center"/>
            </w:pPr>
            <w:r>
              <w:rPr>
                <w:rFonts w:ascii="仿宋_GB2312" w:hAnsi="仿宋"/>
                <w:sz w:val="24"/>
              </w:rPr>
              <w:t>3940</w:t>
            </w:r>
          </w:p>
        </w:tc>
        <w:tc>
          <w:tcPr>
            <w:tcW w:w="2279" w:type="dxa"/>
            <w:vAlign w:val="top"/>
          </w:tcPr>
          <w:p w14:paraId="68249A0D">
            <w:pPr>
              <w:jc w:val="center"/>
            </w:pPr>
            <w:r>
              <w:rPr>
                <w:rFonts w:ascii="仿宋_GB2312" w:hAnsi="仿宋"/>
                <w:sz w:val="24"/>
              </w:rPr>
              <w:t>6870</w:t>
            </w:r>
          </w:p>
        </w:tc>
      </w:tr>
      <w:tr w14:paraId="1E22995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6970CF45">
            <w:r>
              <w:rPr>
                <w:rFonts w:ascii="仿宋_GB2312" w:hAnsi="仿宋"/>
                <w:sz w:val="24"/>
              </w:rPr>
              <w:t>卡塔尔</w:t>
            </w:r>
          </w:p>
        </w:tc>
        <w:tc>
          <w:tcPr>
            <w:tcW w:w="2279" w:type="dxa"/>
            <w:vAlign w:val="top"/>
          </w:tcPr>
          <w:p w14:paraId="220A33D2">
            <w:pPr>
              <w:jc w:val="center"/>
            </w:pPr>
            <w:r>
              <w:rPr>
                <w:rFonts w:ascii="仿宋_GB2312" w:hAnsi="仿宋"/>
                <w:sz w:val="24"/>
              </w:rPr>
              <w:t>2050</w:t>
            </w:r>
          </w:p>
        </w:tc>
        <w:tc>
          <w:tcPr>
            <w:tcW w:w="2279" w:type="dxa"/>
            <w:vAlign w:val="top"/>
          </w:tcPr>
          <w:p w14:paraId="6E71D9A5">
            <w:pPr>
              <w:jc w:val="center"/>
            </w:pPr>
            <w:r>
              <w:rPr>
                <w:rFonts w:ascii="仿宋_GB2312" w:hAnsi="仿宋"/>
                <w:sz w:val="24"/>
              </w:rPr>
              <w:t>7300</w:t>
            </w:r>
          </w:p>
        </w:tc>
        <w:tc>
          <w:tcPr>
            <w:tcW w:w="2279" w:type="dxa"/>
            <w:vAlign w:val="top"/>
          </w:tcPr>
          <w:p w14:paraId="15FA0127">
            <w:pPr>
              <w:jc w:val="center"/>
            </w:pPr>
            <w:r>
              <w:rPr>
                <w:rFonts w:ascii="仿宋_GB2312" w:hAnsi="仿宋"/>
                <w:sz w:val="24"/>
              </w:rPr>
              <w:t>9350</w:t>
            </w:r>
          </w:p>
        </w:tc>
      </w:tr>
      <w:tr w14:paraId="3E7AC24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516875DE">
            <w:r>
              <w:rPr>
                <w:rFonts w:ascii="仿宋_GB2312" w:hAnsi="仿宋"/>
                <w:sz w:val="24"/>
              </w:rPr>
              <w:t>马来西亚</w:t>
            </w:r>
          </w:p>
        </w:tc>
        <w:tc>
          <w:tcPr>
            <w:tcW w:w="2279" w:type="dxa"/>
            <w:vAlign w:val="top"/>
          </w:tcPr>
          <w:p w14:paraId="7FF5ADFF">
            <w:pPr>
              <w:jc w:val="center"/>
            </w:pPr>
            <w:r>
              <w:rPr>
                <w:rFonts w:ascii="仿宋_GB2312" w:hAnsi="仿宋"/>
                <w:sz w:val="24"/>
              </w:rPr>
              <w:t>2270</w:t>
            </w:r>
          </w:p>
        </w:tc>
        <w:tc>
          <w:tcPr>
            <w:tcW w:w="2279" w:type="dxa"/>
            <w:vAlign w:val="top"/>
          </w:tcPr>
          <w:p w14:paraId="6C9EF446">
            <w:pPr>
              <w:jc w:val="center"/>
            </w:pPr>
            <w:r>
              <w:rPr>
                <w:rFonts w:ascii="仿宋_GB2312" w:hAnsi="仿宋"/>
                <w:sz w:val="24"/>
              </w:rPr>
              <w:t>2950</w:t>
            </w:r>
          </w:p>
        </w:tc>
        <w:tc>
          <w:tcPr>
            <w:tcW w:w="2279" w:type="dxa"/>
            <w:vAlign w:val="top"/>
          </w:tcPr>
          <w:p w14:paraId="08FB0A7A">
            <w:pPr>
              <w:jc w:val="center"/>
            </w:pPr>
            <w:r>
              <w:rPr>
                <w:rFonts w:ascii="仿宋_GB2312" w:hAnsi="仿宋"/>
                <w:sz w:val="24"/>
              </w:rPr>
              <w:t>5220</w:t>
            </w:r>
          </w:p>
        </w:tc>
      </w:tr>
      <w:tr w14:paraId="4D9CB65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0F22B979">
            <w:r>
              <w:rPr>
                <w:rFonts w:ascii="仿宋_GB2312" w:hAnsi="仿宋"/>
                <w:sz w:val="24"/>
              </w:rPr>
              <w:t>澳大利亚</w:t>
            </w:r>
          </w:p>
        </w:tc>
        <w:tc>
          <w:tcPr>
            <w:tcW w:w="2279" w:type="dxa"/>
            <w:vAlign w:val="top"/>
          </w:tcPr>
          <w:p w14:paraId="0C3942AA">
            <w:pPr>
              <w:jc w:val="center"/>
            </w:pPr>
            <w:r>
              <w:rPr>
                <w:rFonts w:ascii="仿宋_GB2312" w:hAnsi="仿宋"/>
                <w:sz w:val="24"/>
              </w:rPr>
              <w:t>760</w:t>
            </w:r>
          </w:p>
        </w:tc>
        <w:tc>
          <w:tcPr>
            <w:tcW w:w="2279" w:type="dxa"/>
            <w:vAlign w:val="top"/>
          </w:tcPr>
          <w:p w14:paraId="583D1A1D">
            <w:pPr>
              <w:jc w:val="center"/>
            </w:pPr>
            <w:r>
              <w:rPr>
                <w:rFonts w:ascii="仿宋_GB2312" w:hAnsi="仿宋"/>
                <w:sz w:val="24"/>
              </w:rPr>
              <w:t>5800</w:t>
            </w:r>
          </w:p>
        </w:tc>
        <w:tc>
          <w:tcPr>
            <w:tcW w:w="2279" w:type="dxa"/>
            <w:vAlign w:val="top"/>
          </w:tcPr>
          <w:p w14:paraId="51AEEDC1">
            <w:pPr>
              <w:jc w:val="center"/>
            </w:pPr>
            <w:r>
              <w:rPr>
                <w:rFonts w:ascii="仿宋_GB2312" w:hAnsi="仿宋"/>
                <w:sz w:val="24"/>
              </w:rPr>
              <w:t>6560</w:t>
            </w:r>
          </w:p>
        </w:tc>
      </w:tr>
      <w:tr w14:paraId="6CC63E0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4E0B0646">
            <w:r>
              <w:rPr>
                <w:rFonts w:ascii="仿宋_GB2312" w:hAnsi="仿宋"/>
                <w:sz w:val="24"/>
              </w:rPr>
              <w:t>阿尔及利亚</w:t>
            </w:r>
          </w:p>
        </w:tc>
        <w:tc>
          <w:tcPr>
            <w:tcW w:w="2279" w:type="dxa"/>
            <w:vAlign w:val="top"/>
          </w:tcPr>
          <w:p w14:paraId="1A440AC5">
            <w:pPr>
              <w:jc w:val="center"/>
            </w:pPr>
            <w:r>
              <w:rPr>
                <w:rFonts w:ascii="仿宋_GB2312" w:hAnsi="仿宋"/>
                <w:sz w:val="24"/>
              </w:rPr>
              <w:t>2310</w:t>
            </w:r>
          </w:p>
        </w:tc>
        <w:tc>
          <w:tcPr>
            <w:tcW w:w="2279" w:type="dxa"/>
            <w:vAlign w:val="top"/>
          </w:tcPr>
          <w:p w14:paraId="47228EA0">
            <w:pPr>
              <w:jc w:val="center"/>
            </w:pPr>
            <w:r>
              <w:rPr>
                <w:rFonts w:ascii="仿宋_GB2312" w:hAnsi="仿宋"/>
                <w:sz w:val="24"/>
              </w:rPr>
              <w:t>400</w:t>
            </w:r>
          </w:p>
        </w:tc>
        <w:tc>
          <w:tcPr>
            <w:tcW w:w="2279" w:type="dxa"/>
            <w:vAlign w:val="top"/>
          </w:tcPr>
          <w:p w14:paraId="31D55270">
            <w:pPr>
              <w:jc w:val="center"/>
            </w:pPr>
            <w:r>
              <w:rPr>
                <w:rFonts w:ascii="仿宋_GB2312" w:hAnsi="仿宋"/>
                <w:sz w:val="24"/>
              </w:rPr>
              <w:t>2710</w:t>
            </w:r>
          </w:p>
        </w:tc>
      </w:tr>
      <w:tr w14:paraId="1C0B92A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358BEC17">
            <w:r>
              <w:rPr>
                <w:rFonts w:ascii="仿宋_GB2312" w:hAnsi="仿宋"/>
                <w:sz w:val="24"/>
              </w:rPr>
              <w:t>伊朗</w:t>
            </w:r>
          </w:p>
        </w:tc>
        <w:tc>
          <w:tcPr>
            <w:tcW w:w="2279" w:type="dxa"/>
            <w:vAlign w:val="top"/>
          </w:tcPr>
          <w:p w14:paraId="5FF18236">
            <w:pPr>
              <w:jc w:val="center"/>
            </w:pPr>
            <w:r>
              <w:rPr>
                <w:rFonts w:ascii="仿宋_GB2312" w:hAnsi="仿宋"/>
                <w:sz w:val="24"/>
              </w:rPr>
              <w:t>600</w:t>
            </w:r>
          </w:p>
        </w:tc>
        <w:tc>
          <w:tcPr>
            <w:tcW w:w="2279" w:type="dxa"/>
            <w:vAlign w:val="top"/>
          </w:tcPr>
          <w:p w14:paraId="2438B3F5">
            <w:pPr>
              <w:jc w:val="center"/>
            </w:pPr>
          </w:p>
        </w:tc>
        <w:tc>
          <w:tcPr>
            <w:tcW w:w="2279" w:type="dxa"/>
            <w:vAlign w:val="top"/>
          </w:tcPr>
          <w:p w14:paraId="527BDD40">
            <w:pPr>
              <w:jc w:val="center"/>
            </w:pPr>
            <w:r>
              <w:rPr>
                <w:rFonts w:ascii="仿宋_GB2312" w:hAnsi="仿宋"/>
                <w:sz w:val="24"/>
              </w:rPr>
              <w:t>600</w:t>
            </w:r>
          </w:p>
        </w:tc>
      </w:tr>
      <w:tr w14:paraId="197A4F2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3ECDAD62">
            <w:r>
              <w:rPr>
                <w:rFonts w:ascii="仿宋_GB2312" w:hAnsi="仿宋"/>
                <w:sz w:val="24"/>
              </w:rPr>
              <w:t>文莱</w:t>
            </w:r>
          </w:p>
        </w:tc>
        <w:tc>
          <w:tcPr>
            <w:tcW w:w="2279" w:type="dxa"/>
            <w:vAlign w:val="top"/>
          </w:tcPr>
          <w:p w14:paraId="0B0DF329">
            <w:pPr>
              <w:jc w:val="center"/>
            </w:pPr>
            <w:r>
              <w:rPr>
                <w:rFonts w:ascii="仿宋_GB2312" w:hAnsi="仿宋"/>
                <w:sz w:val="24"/>
              </w:rPr>
              <w:t>720</w:t>
            </w:r>
          </w:p>
        </w:tc>
        <w:tc>
          <w:tcPr>
            <w:tcW w:w="2279" w:type="dxa"/>
            <w:vAlign w:val="top"/>
          </w:tcPr>
          <w:p w14:paraId="712BECC5">
            <w:pPr>
              <w:jc w:val="center"/>
            </w:pPr>
            <w:r>
              <w:rPr>
                <w:rFonts w:ascii="仿宋_GB2312" w:hAnsi="仿宋"/>
                <w:sz w:val="24"/>
              </w:rPr>
              <w:t>1120</w:t>
            </w:r>
          </w:p>
        </w:tc>
        <w:tc>
          <w:tcPr>
            <w:tcW w:w="2279" w:type="dxa"/>
            <w:vAlign w:val="top"/>
          </w:tcPr>
          <w:p w14:paraId="0278B0E3">
            <w:pPr>
              <w:jc w:val="center"/>
            </w:pPr>
            <w:r>
              <w:rPr>
                <w:rFonts w:ascii="仿宋_GB2312" w:hAnsi="仿宋"/>
                <w:sz w:val="24"/>
              </w:rPr>
              <w:t>1840</w:t>
            </w:r>
          </w:p>
        </w:tc>
      </w:tr>
      <w:tr w14:paraId="7F83442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28152880">
            <w:r>
              <w:rPr>
                <w:rFonts w:ascii="仿宋_GB2312" w:hAnsi="仿宋"/>
                <w:sz w:val="24"/>
              </w:rPr>
              <w:t>特立尼达和多巴哥</w:t>
            </w:r>
          </w:p>
        </w:tc>
        <w:tc>
          <w:tcPr>
            <w:tcW w:w="2279" w:type="dxa"/>
            <w:vAlign w:val="top"/>
          </w:tcPr>
          <w:p w14:paraId="593FB82D">
            <w:pPr>
              <w:jc w:val="center"/>
            </w:pPr>
            <w:r>
              <w:rPr>
                <w:rFonts w:ascii="仿宋_GB2312" w:hAnsi="仿宋"/>
                <w:sz w:val="24"/>
              </w:rPr>
              <w:t>990</w:t>
            </w:r>
          </w:p>
        </w:tc>
        <w:tc>
          <w:tcPr>
            <w:tcW w:w="2279" w:type="dxa"/>
            <w:vAlign w:val="top"/>
          </w:tcPr>
          <w:p w14:paraId="199C838D">
            <w:pPr>
              <w:jc w:val="center"/>
            </w:pPr>
            <w:r>
              <w:rPr>
                <w:rFonts w:ascii="仿宋_GB2312" w:hAnsi="仿宋"/>
                <w:sz w:val="24"/>
              </w:rPr>
              <w:t>520</w:t>
            </w:r>
          </w:p>
        </w:tc>
        <w:tc>
          <w:tcPr>
            <w:tcW w:w="2279" w:type="dxa"/>
            <w:vAlign w:val="top"/>
          </w:tcPr>
          <w:p w14:paraId="6941C982">
            <w:pPr>
              <w:jc w:val="center"/>
            </w:pPr>
            <w:r>
              <w:rPr>
                <w:rFonts w:ascii="仿宋_GB2312" w:hAnsi="仿宋"/>
                <w:sz w:val="24"/>
              </w:rPr>
              <w:t>1510</w:t>
            </w:r>
          </w:p>
        </w:tc>
      </w:tr>
      <w:tr w14:paraId="6DAFF64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41457F08">
            <w:r>
              <w:rPr>
                <w:rFonts w:ascii="仿宋_GB2312" w:hAnsi="仿宋"/>
                <w:sz w:val="24"/>
              </w:rPr>
              <w:t>埃及</w:t>
            </w:r>
          </w:p>
        </w:tc>
        <w:tc>
          <w:tcPr>
            <w:tcW w:w="2279" w:type="dxa"/>
            <w:vAlign w:val="top"/>
          </w:tcPr>
          <w:p w14:paraId="0E42C63A">
            <w:pPr>
              <w:jc w:val="center"/>
            </w:pPr>
            <w:r>
              <w:rPr>
                <w:rFonts w:ascii="仿宋_GB2312" w:hAnsi="仿宋"/>
                <w:sz w:val="24"/>
              </w:rPr>
              <w:t>560</w:t>
            </w:r>
          </w:p>
        </w:tc>
        <w:tc>
          <w:tcPr>
            <w:tcW w:w="2279" w:type="dxa"/>
            <w:vAlign w:val="top"/>
          </w:tcPr>
          <w:p w14:paraId="7F4A36A4">
            <w:pPr>
              <w:jc w:val="center"/>
            </w:pPr>
            <w:r>
              <w:rPr>
                <w:rFonts w:ascii="仿宋_GB2312" w:hAnsi="仿宋"/>
                <w:sz w:val="24"/>
              </w:rPr>
              <w:t>720</w:t>
            </w:r>
          </w:p>
        </w:tc>
        <w:tc>
          <w:tcPr>
            <w:tcW w:w="2279" w:type="dxa"/>
            <w:vAlign w:val="top"/>
          </w:tcPr>
          <w:p w14:paraId="2F615E89">
            <w:pPr>
              <w:jc w:val="center"/>
            </w:pPr>
            <w:r>
              <w:rPr>
                <w:rFonts w:ascii="仿宋_GB2312" w:hAnsi="仿宋"/>
                <w:sz w:val="24"/>
              </w:rPr>
              <w:t>1280</w:t>
            </w:r>
          </w:p>
        </w:tc>
      </w:tr>
      <w:tr w14:paraId="66BBEED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6479F06F">
            <w:r>
              <w:rPr>
                <w:rFonts w:ascii="仿宋_GB2312" w:hAnsi="仿宋"/>
                <w:sz w:val="24"/>
              </w:rPr>
              <w:t>尼日利亚</w:t>
            </w:r>
          </w:p>
        </w:tc>
        <w:tc>
          <w:tcPr>
            <w:tcW w:w="2279" w:type="dxa"/>
            <w:vAlign w:val="top"/>
          </w:tcPr>
          <w:p w14:paraId="035096A4">
            <w:pPr>
              <w:jc w:val="center"/>
            </w:pPr>
            <w:r>
              <w:rPr>
                <w:rFonts w:ascii="仿宋_GB2312" w:hAnsi="仿宋"/>
                <w:sz w:val="24"/>
              </w:rPr>
              <w:t>920</w:t>
            </w:r>
          </w:p>
        </w:tc>
        <w:tc>
          <w:tcPr>
            <w:tcW w:w="2279" w:type="dxa"/>
            <w:vAlign w:val="top"/>
          </w:tcPr>
          <w:p w14:paraId="0B57BD03">
            <w:pPr>
              <w:jc w:val="center"/>
            </w:pPr>
            <w:r>
              <w:rPr>
                <w:rFonts w:ascii="仿宋_GB2312" w:hAnsi="仿宋"/>
                <w:sz w:val="24"/>
              </w:rPr>
              <w:t>216</w:t>
            </w:r>
          </w:p>
        </w:tc>
        <w:tc>
          <w:tcPr>
            <w:tcW w:w="2279" w:type="dxa"/>
            <w:vAlign w:val="top"/>
          </w:tcPr>
          <w:p w14:paraId="26C8773C">
            <w:pPr>
              <w:jc w:val="center"/>
            </w:pPr>
            <w:r>
              <w:rPr>
                <w:rFonts w:ascii="仿宋_GB2312" w:hAnsi="仿宋"/>
                <w:sz w:val="24"/>
              </w:rPr>
              <w:t>1136</w:t>
            </w:r>
          </w:p>
        </w:tc>
      </w:tr>
      <w:tr w14:paraId="43C5ED3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69F9BAF7">
            <w:r>
              <w:rPr>
                <w:rFonts w:ascii="仿宋_GB2312" w:hAnsi="仿宋"/>
                <w:sz w:val="24"/>
              </w:rPr>
              <w:t>阿曼</w:t>
            </w:r>
          </w:p>
        </w:tc>
        <w:tc>
          <w:tcPr>
            <w:tcW w:w="2279" w:type="dxa"/>
            <w:vAlign w:val="top"/>
          </w:tcPr>
          <w:p w14:paraId="4D9021B0">
            <w:pPr>
              <w:jc w:val="center"/>
            </w:pPr>
            <w:r>
              <w:rPr>
                <w:rFonts w:ascii="仿宋_GB2312" w:hAnsi="仿宋"/>
                <w:sz w:val="24"/>
              </w:rPr>
              <w:t>660</w:t>
            </w:r>
          </w:p>
        </w:tc>
        <w:tc>
          <w:tcPr>
            <w:tcW w:w="2279" w:type="dxa"/>
            <w:vAlign w:val="top"/>
          </w:tcPr>
          <w:p w14:paraId="4BEDBE85">
            <w:pPr>
              <w:jc w:val="center"/>
            </w:pPr>
            <w:r>
              <w:rPr>
                <w:rFonts w:ascii="仿宋_GB2312" w:hAnsi="仿宋"/>
                <w:sz w:val="24"/>
              </w:rPr>
              <w:t>370</w:t>
            </w:r>
          </w:p>
        </w:tc>
        <w:tc>
          <w:tcPr>
            <w:tcW w:w="2279" w:type="dxa"/>
            <w:vAlign w:val="top"/>
          </w:tcPr>
          <w:p w14:paraId="3D218072">
            <w:pPr>
              <w:jc w:val="center"/>
            </w:pPr>
            <w:r>
              <w:rPr>
                <w:rFonts w:ascii="仿宋_GB2312" w:hAnsi="仿宋"/>
                <w:sz w:val="24"/>
              </w:rPr>
              <w:t>1030</w:t>
            </w:r>
          </w:p>
        </w:tc>
      </w:tr>
      <w:tr w14:paraId="28F90AA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0B46B7E0">
            <w:r>
              <w:rPr>
                <w:rFonts w:ascii="仿宋_GB2312" w:hAnsi="仿宋"/>
                <w:sz w:val="24"/>
              </w:rPr>
              <w:t>俄罗斯</w:t>
            </w:r>
          </w:p>
        </w:tc>
        <w:tc>
          <w:tcPr>
            <w:tcW w:w="2279" w:type="dxa"/>
            <w:vAlign w:val="top"/>
          </w:tcPr>
          <w:p w14:paraId="35A32B81">
            <w:pPr>
              <w:jc w:val="center"/>
            </w:pPr>
            <w:r>
              <w:rPr>
                <w:rFonts w:ascii="仿宋_GB2312" w:hAnsi="仿宋"/>
                <w:sz w:val="24"/>
              </w:rPr>
              <w:t>-</w:t>
            </w:r>
          </w:p>
        </w:tc>
        <w:tc>
          <w:tcPr>
            <w:tcW w:w="2279" w:type="dxa"/>
            <w:vAlign w:val="top"/>
          </w:tcPr>
          <w:p w14:paraId="66C5B648">
            <w:pPr>
              <w:jc w:val="center"/>
            </w:pPr>
            <w:r>
              <w:rPr>
                <w:rFonts w:ascii="仿宋_GB2312" w:hAnsi="仿宋"/>
                <w:sz w:val="24"/>
              </w:rPr>
              <w:t>960</w:t>
            </w:r>
          </w:p>
        </w:tc>
        <w:tc>
          <w:tcPr>
            <w:tcW w:w="2279" w:type="dxa"/>
            <w:vAlign w:val="top"/>
          </w:tcPr>
          <w:p w14:paraId="187F410F">
            <w:pPr>
              <w:jc w:val="center"/>
            </w:pPr>
            <w:r>
              <w:rPr>
                <w:rFonts w:ascii="仿宋_GB2312" w:hAnsi="仿宋"/>
                <w:sz w:val="24"/>
              </w:rPr>
              <w:t>960</w:t>
            </w:r>
          </w:p>
        </w:tc>
      </w:tr>
      <w:tr w14:paraId="40079BD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251EC3CE">
            <w:r>
              <w:rPr>
                <w:rFonts w:ascii="仿宋_GB2312" w:hAnsi="仿宋"/>
                <w:sz w:val="24"/>
              </w:rPr>
              <w:t>也门</w:t>
            </w:r>
          </w:p>
        </w:tc>
        <w:tc>
          <w:tcPr>
            <w:tcW w:w="2279" w:type="dxa"/>
            <w:vAlign w:val="top"/>
          </w:tcPr>
          <w:p w14:paraId="44DA2653">
            <w:pPr>
              <w:jc w:val="center"/>
            </w:pPr>
            <w:r>
              <w:rPr>
                <w:rFonts w:ascii="仿宋_GB2312" w:hAnsi="仿宋"/>
                <w:sz w:val="24"/>
              </w:rPr>
              <w:t>-</w:t>
            </w:r>
          </w:p>
        </w:tc>
        <w:tc>
          <w:tcPr>
            <w:tcW w:w="2279" w:type="dxa"/>
            <w:vAlign w:val="top"/>
          </w:tcPr>
          <w:p w14:paraId="169FD02E">
            <w:pPr>
              <w:jc w:val="center"/>
            </w:pPr>
            <w:r>
              <w:rPr>
                <w:rFonts w:ascii="仿宋_GB2312" w:hAnsi="仿宋"/>
                <w:sz w:val="24"/>
              </w:rPr>
              <w:t>615</w:t>
            </w:r>
          </w:p>
        </w:tc>
        <w:tc>
          <w:tcPr>
            <w:tcW w:w="2279" w:type="dxa"/>
            <w:vAlign w:val="top"/>
          </w:tcPr>
          <w:p w14:paraId="472BC345">
            <w:pPr>
              <w:jc w:val="center"/>
            </w:pPr>
            <w:r>
              <w:rPr>
                <w:rFonts w:ascii="仿宋_GB2312" w:hAnsi="仿宋"/>
                <w:sz w:val="24"/>
              </w:rPr>
              <w:t>615</w:t>
            </w:r>
          </w:p>
        </w:tc>
      </w:tr>
      <w:tr w14:paraId="232B289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5A7C5AD3">
            <w:r>
              <w:rPr>
                <w:rFonts w:ascii="仿宋_GB2312" w:hAnsi="仿宋"/>
                <w:sz w:val="24"/>
              </w:rPr>
              <w:t>阿联酋</w:t>
            </w:r>
          </w:p>
        </w:tc>
        <w:tc>
          <w:tcPr>
            <w:tcW w:w="2279" w:type="dxa"/>
            <w:vAlign w:val="top"/>
          </w:tcPr>
          <w:p w14:paraId="606FFDE7">
            <w:pPr>
              <w:jc w:val="center"/>
            </w:pPr>
            <w:r>
              <w:rPr>
                <w:rFonts w:ascii="仿宋_GB2312" w:hAnsi="仿宋"/>
                <w:sz w:val="24"/>
              </w:rPr>
              <w:t>550</w:t>
            </w:r>
          </w:p>
        </w:tc>
        <w:tc>
          <w:tcPr>
            <w:tcW w:w="2279" w:type="dxa"/>
            <w:vAlign w:val="top"/>
          </w:tcPr>
          <w:p w14:paraId="2F02196A">
            <w:pPr>
              <w:jc w:val="center"/>
            </w:pPr>
            <w:r>
              <w:rPr>
                <w:rFonts w:ascii="仿宋_GB2312" w:hAnsi="仿宋"/>
                <w:sz w:val="24"/>
              </w:rPr>
              <w:t>-</w:t>
            </w:r>
          </w:p>
        </w:tc>
        <w:tc>
          <w:tcPr>
            <w:tcW w:w="2279" w:type="dxa"/>
            <w:vAlign w:val="top"/>
          </w:tcPr>
          <w:p w14:paraId="633A53B5">
            <w:pPr>
              <w:jc w:val="center"/>
            </w:pPr>
            <w:r>
              <w:rPr>
                <w:rFonts w:ascii="仿宋_GB2312" w:hAnsi="仿宋"/>
                <w:sz w:val="24"/>
              </w:rPr>
              <w:t>550</w:t>
            </w:r>
          </w:p>
        </w:tc>
      </w:tr>
      <w:tr w14:paraId="6A774B1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4BA384DD">
            <w:r>
              <w:rPr>
                <w:rFonts w:ascii="仿宋_GB2312" w:hAnsi="仿宋"/>
                <w:sz w:val="24"/>
              </w:rPr>
              <w:t>其他</w:t>
            </w:r>
          </w:p>
        </w:tc>
        <w:tc>
          <w:tcPr>
            <w:tcW w:w="2279" w:type="dxa"/>
            <w:vAlign w:val="top"/>
          </w:tcPr>
          <w:p w14:paraId="7553D1D2">
            <w:pPr>
              <w:jc w:val="center"/>
            </w:pPr>
            <w:r>
              <w:rPr>
                <w:rFonts w:ascii="仿宋_GB2312" w:hAnsi="仿宋"/>
                <w:sz w:val="24"/>
              </w:rPr>
              <w:t>1320</w:t>
            </w:r>
          </w:p>
        </w:tc>
        <w:tc>
          <w:tcPr>
            <w:tcW w:w="2279" w:type="dxa"/>
            <w:vAlign w:val="top"/>
          </w:tcPr>
          <w:p w14:paraId="224CF7AA">
            <w:pPr>
              <w:jc w:val="center"/>
            </w:pPr>
            <w:r>
              <w:rPr>
                <w:rFonts w:ascii="仿宋_GB2312" w:hAnsi="仿宋"/>
                <w:sz w:val="24"/>
              </w:rPr>
              <w:t>-</w:t>
            </w:r>
          </w:p>
        </w:tc>
        <w:tc>
          <w:tcPr>
            <w:tcW w:w="2279" w:type="dxa"/>
            <w:vAlign w:val="top"/>
          </w:tcPr>
          <w:p w14:paraId="616F22DF">
            <w:pPr>
              <w:jc w:val="center"/>
            </w:pPr>
            <w:r>
              <w:rPr>
                <w:rFonts w:ascii="仿宋_GB2312" w:hAnsi="仿宋"/>
                <w:sz w:val="24"/>
              </w:rPr>
              <w:t>1320</w:t>
            </w:r>
          </w:p>
        </w:tc>
      </w:tr>
      <w:tr w14:paraId="4737003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2280" w:type="dxa"/>
            <w:vAlign w:val="top"/>
          </w:tcPr>
          <w:p w14:paraId="267A9853">
            <w:r>
              <w:rPr>
                <w:rFonts w:ascii="仿宋_GB2312" w:hAnsi="仿宋"/>
                <w:sz w:val="24"/>
              </w:rPr>
              <w:t>合计</w:t>
            </w:r>
          </w:p>
        </w:tc>
        <w:tc>
          <w:tcPr>
            <w:tcW w:w="2279" w:type="dxa"/>
            <w:vAlign w:val="top"/>
          </w:tcPr>
          <w:p w14:paraId="622551BF">
            <w:pPr>
              <w:jc w:val="center"/>
            </w:pPr>
            <w:r>
              <w:rPr>
                <w:rFonts w:ascii="仿宋_GB2312" w:hAnsi="仿宋"/>
                <w:sz w:val="24"/>
              </w:rPr>
              <w:t>16640</w:t>
            </w:r>
          </w:p>
        </w:tc>
        <w:tc>
          <w:tcPr>
            <w:tcW w:w="2279" w:type="dxa"/>
            <w:vAlign w:val="top"/>
          </w:tcPr>
          <w:p w14:paraId="004E6830">
            <w:pPr>
              <w:jc w:val="center"/>
            </w:pPr>
            <w:r>
              <w:rPr>
                <w:rFonts w:ascii="仿宋_GB2312" w:hAnsi="仿宋"/>
                <w:sz w:val="24"/>
              </w:rPr>
              <w:t>24911</w:t>
            </w:r>
          </w:p>
        </w:tc>
        <w:tc>
          <w:tcPr>
            <w:tcW w:w="2279" w:type="dxa"/>
            <w:vAlign w:val="top"/>
          </w:tcPr>
          <w:p w14:paraId="123E6D96">
            <w:pPr>
              <w:jc w:val="center"/>
            </w:pPr>
            <w:r>
              <w:rPr>
                <w:rFonts w:ascii="仿宋_GB2312" w:hAnsi="仿宋"/>
                <w:sz w:val="24"/>
              </w:rPr>
              <w:t>41551</w:t>
            </w:r>
          </w:p>
        </w:tc>
      </w:tr>
    </w:tbl>
    <w:p w14:paraId="29A1763E">
      <w:pPr>
        <w:rPr>
          <w:rFonts w:ascii="仿宋_GB2312" w:hAnsi="仿宋"/>
          <w:sz w:val="29"/>
        </w:rPr>
      </w:pPr>
    </w:p>
    <w:p w14:paraId="632D5954">
      <w:pPr>
        <w:spacing w:line="600" w:lineRule="exact"/>
        <w:ind w:firstLine="548"/>
      </w:pPr>
      <w:r>
        <w:rPr>
          <w:rFonts w:ascii="仿宋_GB2312" w:hAnsi="仿宋"/>
          <w:sz w:val="29"/>
        </w:rPr>
        <w:t>4、东北亚LNG消费现状及预测</w:t>
      </w:r>
    </w:p>
    <w:p w14:paraId="59A51230">
      <w:pPr>
        <w:ind w:firstLine="548"/>
      </w:pPr>
      <w:r>
        <w:rPr>
          <w:rFonts w:ascii="仿宋_GB2312" w:hAnsi="仿宋"/>
          <w:sz w:val="29"/>
        </w:rPr>
        <w:t>据亚太能源研究所预测，东北亚LNG进口量见表3-3。</w:t>
      </w:r>
    </w:p>
    <w:p w14:paraId="0B183DBE">
      <w:pPr>
        <w:jc w:val="center"/>
      </w:pPr>
      <w:r>
        <w:rPr>
          <w:rFonts w:ascii="仿宋_GB2312" w:hAnsi="仿宋"/>
          <w:sz w:val="18"/>
          <w:szCs w:val="18"/>
        </w:rPr>
        <w:t xml:space="preserve">表3-3 </w:t>
      </w:r>
      <w:r>
        <w:rPr>
          <w:rFonts w:ascii="仿宋_GB2312" w:hAnsi="仿宋"/>
          <w:sz w:val="29"/>
        </w:rPr>
        <w:t xml:space="preserve"> </w:t>
      </w:r>
      <w:r>
        <w:rPr>
          <w:rFonts w:ascii="仿宋_GB2312" w:hAnsi="仿宋"/>
          <w:sz w:val="24"/>
        </w:rPr>
        <w:t>东北亚LNG进口量预测表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670"/>
        <w:gridCol w:w="1578"/>
        <w:gridCol w:w="2258"/>
        <w:gridCol w:w="2258"/>
        <w:gridCol w:w="2258"/>
      </w:tblGrid>
      <w:tr w14:paraId="1B255D5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670" w:type="dxa"/>
            <w:vAlign w:val="top"/>
          </w:tcPr>
          <w:p w14:paraId="2461B19B">
            <w:r>
              <w:rPr>
                <w:rFonts w:ascii="仿宋_GB2312" w:hAnsi="仿宋"/>
                <w:sz w:val="24"/>
              </w:rPr>
              <w:t>序号</w:t>
            </w:r>
          </w:p>
        </w:tc>
        <w:tc>
          <w:tcPr>
            <w:tcW w:w="1578" w:type="dxa"/>
            <w:vAlign w:val="top"/>
          </w:tcPr>
          <w:p w14:paraId="01736978">
            <w:r>
              <w:rPr>
                <w:rFonts w:ascii="仿宋_GB2312" w:hAnsi="仿宋"/>
                <w:sz w:val="24"/>
              </w:rPr>
              <w:t>国家（地区）</w:t>
            </w:r>
          </w:p>
        </w:tc>
        <w:tc>
          <w:tcPr>
            <w:tcW w:w="2258" w:type="dxa"/>
            <w:vAlign w:val="top"/>
          </w:tcPr>
          <w:p w14:paraId="75D95763">
            <w:r>
              <w:rPr>
                <w:rFonts w:ascii="仿宋_GB2312" w:hAnsi="仿宋"/>
                <w:sz w:val="24"/>
              </w:rPr>
              <w:t>２０１０年（万吨）</w:t>
            </w:r>
          </w:p>
        </w:tc>
        <w:tc>
          <w:tcPr>
            <w:tcW w:w="2258" w:type="dxa"/>
            <w:vAlign w:val="top"/>
          </w:tcPr>
          <w:p w14:paraId="127BB269">
            <w:r>
              <w:rPr>
                <w:rFonts w:ascii="仿宋_GB2312" w:hAnsi="仿宋"/>
                <w:sz w:val="24"/>
              </w:rPr>
              <w:t>２０２０年（万吨）</w:t>
            </w:r>
          </w:p>
        </w:tc>
        <w:tc>
          <w:tcPr>
            <w:tcW w:w="2258" w:type="dxa"/>
            <w:vAlign w:val="top"/>
          </w:tcPr>
          <w:p w14:paraId="6298BD13">
            <w:r>
              <w:rPr>
                <w:rFonts w:ascii="仿宋_GB2312" w:hAnsi="仿宋"/>
                <w:sz w:val="24"/>
              </w:rPr>
              <w:t>２０３０年（万吨）</w:t>
            </w:r>
          </w:p>
        </w:tc>
      </w:tr>
      <w:tr w14:paraId="7B9009A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670" w:type="dxa"/>
            <w:vAlign w:val="top"/>
          </w:tcPr>
          <w:p w14:paraId="037019E8">
            <w:r>
              <w:rPr>
                <w:rFonts w:ascii="仿宋_GB2312" w:hAnsi="仿宋"/>
                <w:sz w:val="24"/>
              </w:rPr>
              <w:t>１</w:t>
            </w:r>
          </w:p>
        </w:tc>
        <w:tc>
          <w:tcPr>
            <w:tcW w:w="1578" w:type="dxa"/>
            <w:vAlign w:val="top"/>
          </w:tcPr>
          <w:p w14:paraId="35FFC392">
            <w:r>
              <w:rPr>
                <w:rFonts w:ascii="仿宋_GB2312" w:hAnsi="仿宋"/>
                <w:sz w:val="24"/>
              </w:rPr>
              <w:t>中国</w:t>
            </w:r>
          </w:p>
        </w:tc>
        <w:tc>
          <w:tcPr>
            <w:tcW w:w="2258" w:type="dxa"/>
            <w:vAlign w:val="top"/>
          </w:tcPr>
          <w:p w14:paraId="5041E6C2">
            <w:pPr>
              <w:jc w:val="center"/>
            </w:pPr>
            <w:r>
              <w:rPr>
                <w:rFonts w:ascii="仿宋_GB2312" w:hAnsi="仿宋"/>
                <w:sz w:val="24"/>
              </w:rPr>
              <w:t>６６０</w:t>
            </w:r>
          </w:p>
        </w:tc>
        <w:tc>
          <w:tcPr>
            <w:tcW w:w="2258" w:type="dxa"/>
            <w:vAlign w:val="top"/>
          </w:tcPr>
          <w:p w14:paraId="429685BE">
            <w:pPr>
              <w:jc w:val="center"/>
            </w:pPr>
            <w:r>
              <w:rPr>
                <w:rFonts w:ascii="仿宋_GB2312" w:hAnsi="仿宋"/>
                <w:sz w:val="24"/>
              </w:rPr>
              <w:t>２６２０</w:t>
            </w:r>
          </w:p>
        </w:tc>
        <w:tc>
          <w:tcPr>
            <w:tcW w:w="2258" w:type="dxa"/>
            <w:vAlign w:val="top"/>
          </w:tcPr>
          <w:p w14:paraId="77B832BE">
            <w:pPr>
              <w:jc w:val="center"/>
            </w:pPr>
            <w:r>
              <w:rPr>
                <w:rFonts w:ascii="仿宋_GB2312" w:hAnsi="仿宋"/>
                <w:sz w:val="24"/>
              </w:rPr>
              <w:t>５２００</w:t>
            </w:r>
          </w:p>
        </w:tc>
      </w:tr>
      <w:tr w14:paraId="35243EC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670" w:type="dxa"/>
            <w:vAlign w:val="top"/>
          </w:tcPr>
          <w:p w14:paraId="70E343F9">
            <w:r>
              <w:rPr>
                <w:rFonts w:ascii="仿宋_GB2312" w:hAnsi="仿宋"/>
                <w:sz w:val="24"/>
              </w:rPr>
              <w:t>２</w:t>
            </w:r>
          </w:p>
        </w:tc>
        <w:tc>
          <w:tcPr>
            <w:tcW w:w="1578" w:type="dxa"/>
            <w:vAlign w:val="top"/>
          </w:tcPr>
          <w:p w14:paraId="285E477B">
            <w:r>
              <w:rPr>
                <w:rFonts w:ascii="仿宋_GB2312" w:hAnsi="仿宋"/>
                <w:sz w:val="24"/>
              </w:rPr>
              <w:t>日本</w:t>
            </w:r>
          </w:p>
        </w:tc>
        <w:tc>
          <w:tcPr>
            <w:tcW w:w="2258" w:type="dxa"/>
            <w:vAlign w:val="top"/>
          </w:tcPr>
          <w:p w14:paraId="19B45AA6">
            <w:pPr>
              <w:jc w:val="center"/>
            </w:pPr>
            <w:r>
              <w:rPr>
                <w:rFonts w:ascii="仿宋_GB2312" w:hAnsi="仿宋"/>
                <w:sz w:val="24"/>
              </w:rPr>
              <w:t>６０７０</w:t>
            </w:r>
          </w:p>
        </w:tc>
        <w:tc>
          <w:tcPr>
            <w:tcW w:w="2258" w:type="dxa"/>
            <w:vAlign w:val="top"/>
          </w:tcPr>
          <w:p w14:paraId="1E3E3C9C">
            <w:pPr>
              <w:jc w:val="center"/>
            </w:pPr>
            <w:r>
              <w:rPr>
                <w:rFonts w:ascii="仿宋_GB2312" w:hAnsi="仿宋"/>
                <w:sz w:val="24"/>
              </w:rPr>
              <w:t>７４１０</w:t>
            </w:r>
          </w:p>
        </w:tc>
        <w:tc>
          <w:tcPr>
            <w:tcW w:w="2258" w:type="dxa"/>
            <w:vAlign w:val="top"/>
          </w:tcPr>
          <w:p w14:paraId="0C205345">
            <w:pPr>
              <w:jc w:val="center"/>
            </w:pPr>
            <w:r>
              <w:rPr>
                <w:rFonts w:ascii="仿宋_GB2312" w:hAnsi="仿宋"/>
                <w:sz w:val="24"/>
              </w:rPr>
              <w:t>８１２０</w:t>
            </w:r>
          </w:p>
        </w:tc>
      </w:tr>
      <w:tr w14:paraId="48DCCDC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670" w:type="dxa"/>
            <w:vAlign w:val="top"/>
          </w:tcPr>
          <w:p w14:paraId="2BF4F7F5">
            <w:r>
              <w:rPr>
                <w:rFonts w:ascii="仿宋_GB2312" w:hAnsi="仿宋"/>
                <w:sz w:val="24"/>
              </w:rPr>
              <w:t>３</w:t>
            </w:r>
          </w:p>
        </w:tc>
        <w:tc>
          <w:tcPr>
            <w:tcW w:w="1578" w:type="dxa"/>
            <w:vAlign w:val="top"/>
          </w:tcPr>
          <w:p w14:paraId="0B3F4BA9">
            <w:r>
              <w:rPr>
                <w:rFonts w:ascii="仿宋_GB2312" w:hAnsi="仿宋"/>
                <w:sz w:val="24"/>
              </w:rPr>
              <w:t>韩国</w:t>
            </w:r>
          </w:p>
        </w:tc>
        <w:tc>
          <w:tcPr>
            <w:tcW w:w="2258" w:type="dxa"/>
            <w:vAlign w:val="top"/>
          </w:tcPr>
          <w:p w14:paraId="4082B99A">
            <w:pPr>
              <w:jc w:val="center"/>
            </w:pPr>
            <w:r>
              <w:rPr>
                <w:rFonts w:ascii="仿宋_GB2312" w:hAnsi="仿宋"/>
                <w:sz w:val="24"/>
              </w:rPr>
              <w:t>３５００</w:t>
            </w:r>
          </w:p>
        </w:tc>
        <w:tc>
          <w:tcPr>
            <w:tcW w:w="2258" w:type="dxa"/>
            <w:vAlign w:val="top"/>
          </w:tcPr>
          <w:p w14:paraId="499B4623">
            <w:pPr>
              <w:jc w:val="center"/>
            </w:pPr>
            <w:r>
              <w:rPr>
                <w:rFonts w:ascii="仿宋_GB2312" w:hAnsi="仿宋"/>
                <w:sz w:val="24"/>
              </w:rPr>
              <w:t>４８４０</w:t>
            </w:r>
          </w:p>
        </w:tc>
        <w:tc>
          <w:tcPr>
            <w:tcW w:w="2258" w:type="dxa"/>
            <w:vAlign w:val="top"/>
          </w:tcPr>
          <w:p w14:paraId="0EBA66D3">
            <w:pPr>
              <w:jc w:val="center"/>
            </w:pPr>
            <w:r>
              <w:rPr>
                <w:rFonts w:ascii="仿宋_GB2312" w:hAnsi="仿宋"/>
                <w:sz w:val="24"/>
              </w:rPr>
              <w:t>５８７０</w:t>
            </w:r>
          </w:p>
        </w:tc>
      </w:tr>
      <w:tr w14:paraId="7589E3E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670" w:type="dxa"/>
            <w:vAlign w:val="top"/>
          </w:tcPr>
          <w:p w14:paraId="1069C4AE">
            <w:r>
              <w:rPr>
                <w:rFonts w:ascii="仿宋_GB2312" w:hAnsi="仿宋"/>
                <w:sz w:val="24"/>
              </w:rPr>
              <w:t>４</w:t>
            </w:r>
          </w:p>
        </w:tc>
        <w:tc>
          <w:tcPr>
            <w:tcW w:w="1578" w:type="dxa"/>
            <w:vAlign w:val="top"/>
          </w:tcPr>
          <w:p w14:paraId="382B44FC">
            <w:r>
              <w:rPr>
                <w:rFonts w:ascii="仿宋_GB2312" w:hAnsi="仿宋"/>
                <w:sz w:val="24"/>
              </w:rPr>
              <w:t>中国台湾</w:t>
            </w:r>
          </w:p>
        </w:tc>
        <w:tc>
          <w:tcPr>
            <w:tcW w:w="2258" w:type="dxa"/>
            <w:vAlign w:val="top"/>
          </w:tcPr>
          <w:p w14:paraId="41304301">
            <w:pPr>
              <w:jc w:val="center"/>
            </w:pPr>
            <w:r>
              <w:rPr>
                <w:rFonts w:ascii="仿宋_GB2312" w:hAnsi="仿宋"/>
                <w:sz w:val="24"/>
              </w:rPr>
              <w:t>１１００</w:t>
            </w:r>
          </w:p>
        </w:tc>
        <w:tc>
          <w:tcPr>
            <w:tcW w:w="2258" w:type="dxa"/>
            <w:vAlign w:val="top"/>
          </w:tcPr>
          <w:p w14:paraId="2CF350FD">
            <w:pPr>
              <w:jc w:val="center"/>
            </w:pPr>
            <w:r>
              <w:rPr>
                <w:rFonts w:ascii="仿宋_GB2312" w:hAnsi="仿宋"/>
                <w:sz w:val="24"/>
              </w:rPr>
              <w:t>１４８０</w:t>
            </w:r>
          </w:p>
        </w:tc>
        <w:tc>
          <w:tcPr>
            <w:tcW w:w="2258" w:type="dxa"/>
            <w:vAlign w:val="top"/>
          </w:tcPr>
          <w:p w14:paraId="1B51B51A">
            <w:pPr>
              <w:jc w:val="center"/>
            </w:pPr>
            <w:r>
              <w:rPr>
                <w:rFonts w:ascii="仿宋_GB2312" w:hAnsi="仿宋"/>
                <w:sz w:val="24"/>
              </w:rPr>
              <w:t>１９７０</w:t>
            </w:r>
          </w:p>
        </w:tc>
      </w:tr>
    </w:tbl>
    <w:p w14:paraId="0F033223">
      <w:pPr>
        <w:rPr>
          <w:rFonts w:ascii="仿宋_GB2312" w:hAnsi="仿宋"/>
          <w:sz w:val="29"/>
        </w:rPr>
      </w:pPr>
    </w:p>
    <w:p w14:paraId="1317ED9C">
      <w:pPr>
        <w:spacing w:line="600" w:lineRule="exact"/>
        <w:ind w:firstLine="548"/>
      </w:pPr>
      <w:r>
        <w:rPr>
          <w:rFonts w:ascii="仿宋_GB2312" w:hAnsi="仿宋"/>
          <w:sz w:val="29"/>
        </w:rPr>
        <w:t>５、供需平衡分析</w:t>
      </w:r>
    </w:p>
    <w:p w14:paraId="7ABD1C21">
      <w:pPr>
        <w:ind w:firstLine="548"/>
      </w:pPr>
      <w:r>
        <w:rPr>
          <w:rFonts w:ascii="仿宋_GB2312" w:hAnsi="仿宋"/>
          <w:sz w:val="29"/>
        </w:rPr>
        <w:t>近年来，随着国际油价持续走高，ＬＮＧ需求趋旺，国际LNG市场已经装变为卖方市场，价格大幅上涨。LNG当前供给的紧张，很大程度上是受美国、印度以及欧洲等国家大规模新建LNG接收站，造成需求激增所致。从长期来看，市场机制将调整供需趋于平衡。预计来年以后供需紧张情况可能有所缓解，LNG价格将走稳或下降。供需基本平衡。</w:t>
      </w:r>
    </w:p>
    <w:p w14:paraId="71AF9FF2">
      <w:pPr>
        <w:ind w:firstLine="548"/>
      </w:pPr>
      <w:r>
        <w:rPr>
          <w:rFonts w:ascii="仿宋_GB2312" w:hAnsi="仿宋"/>
          <w:sz w:val="29"/>
        </w:rPr>
        <w:t>（四）气源选择</w:t>
      </w:r>
    </w:p>
    <w:p w14:paraId="6FDB5753">
      <w:pPr>
        <w:ind w:firstLine="548"/>
      </w:pPr>
      <w:r>
        <w:rPr>
          <w:rFonts w:ascii="仿宋_GB2312" w:hAnsi="仿宋"/>
          <w:sz w:val="29"/>
        </w:rPr>
        <w:t>从以上分析可见，在未来２０年内，将LNG气源作为福建省的主供气源是可行的。同时，为了保证能源供应的安全可靠性，应积极做好相关准备工作，加快福建省天然气线路建设，主干线争取早日与江西、广东、浙江的天然气干线对接联网，实现多种气源、多点气源的供气格局，将福建省的燃气供气安全保障提高到一个新的水平。</w:t>
      </w:r>
    </w:p>
    <w:p w14:paraId="6B7EB67E">
      <w:pPr>
        <w:ind w:firstLine="548"/>
        <w:jc w:val="center"/>
      </w:pPr>
      <w:r>
        <w:rPr>
          <w:rFonts w:ascii="仿宋_GB2312" w:hAnsi="仿宋"/>
          <w:sz w:val="29"/>
        </w:rPr>
        <w:t>福建省莆田秀屿LNG 接收站液化天然气气源组分和物性参数见表3-4。</w:t>
      </w:r>
    </w:p>
    <w:p w14:paraId="0FB9A2CC">
      <w:pPr>
        <w:ind w:firstLine="548"/>
        <w:jc w:val="center"/>
        <w:rPr>
          <w:rFonts w:ascii="仿宋_GB2312" w:hAnsi="仿宋"/>
          <w:sz w:val="29"/>
        </w:rPr>
      </w:pPr>
    </w:p>
    <w:p w14:paraId="29AC5706">
      <w:pPr>
        <w:ind w:firstLine="420"/>
        <w:jc w:val="center"/>
      </w:pPr>
      <w:r>
        <w:rPr>
          <w:rFonts w:ascii="仿宋_GB2312" w:hAnsi="仿宋"/>
          <w:szCs w:val="21"/>
        </w:rPr>
        <w:t>表３-４</w:t>
      </w:r>
      <w:r>
        <w:rPr>
          <w:rFonts w:ascii="仿宋_GB2312" w:hAnsi="仿宋"/>
          <w:sz w:val="26"/>
          <w:szCs w:val="26"/>
        </w:rPr>
        <w:t xml:space="preserve"> </w:t>
      </w:r>
      <w:r>
        <w:rPr>
          <w:rFonts w:ascii="仿宋_GB2312" w:hAnsi="仿宋"/>
          <w:sz w:val="24"/>
        </w:rPr>
        <w:t>福建省莆田秀屿LNG 气源组分和物性参数</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4558"/>
        <w:gridCol w:w="4559"/>
      </w:tblGrid>
      <w:tr w14:paraId="0DDC17E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0A559688">
            <w:pPr>
              <w:jc w:val="center"/>
            </w:pPr>
            <w:r>
              <w:rPr>
                <w:rFonts w:ascii="仿宋_GB2312" w:hAnsi="仿宋"/>
                <w:sz w:val="24"/>
              </w:rPr>
              <w:t>成份</w:t>
            </w:r>
          </w:p>
        </w:tc>
        <w:tc>
          <w:tcPr>
            <w:tcW w:w="4559" w:type="dxa"/>
            <w:vAlign w:val="top"/>
          </w:tcPr>
          <w:p w14:paraId="32294CF5">
            <w:pPr>
              <w:jc w:val="center"/>
            </w:pPr>
            <w:r>
              <w:rPr>
                <w:rFonts w:ascii="仿宋_GB2312" w:hAnsi="仿宋"/>
                <w:sz w:val="24"/>
              </w:rPr>
              <w:t>参数</w:t>
            </w:r>
          </w:p>
        </w:tc>
      </w:tr>
      <w:tr w14:paraId="5A1CECD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58A7D255">
            <w:pPr>
              <w:jc w:val="left"/>
            </w:pPr>
            <w:r>
              <w:rPr>
                <w:rFonts w:ascii="仿宋_GB2312" w:hAnsi="仿宋"/>
                <w:sz w:val="24"/>
              </w:rPr>
              <w:t>C1 mo1%</w:t>
            </w:r>
          </w:p>
        </w:tc>
        <w:tc>
          <w:tcPr>
            <w:tcW w:w="4559" w:type="dxa"/>
            <w:vAlign w:val="top"/>
          </w:tcPr>
          <w:p w14:paraId="4D5CF7FD">
            <w:pPr>
              <w:jc w:val="center"/>
            </w:pPr>
            <w:r>
              <w:rPr>
                <w:rFonts w:ascii="仿宋_GB2312" w:hAnsi="仿宋"/>
                <w:sz w:val="24"/>
              </w:rPr>
              <w:t>96.299</w:t>
            </w:r>
          </w:p>
        </w:tc>
      </w:tr>
      <w:tr w14:paraId="6848039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6A88DE68">
            <w:pPr>
              <w:jc w:val="left"/>
            </w:pPr>
            <w:r>
              <w:rPr>
                <w:rFonts w:ascii="仿宋_GB2312" w:hAnsi="仿宋"/>
                <w:sz w:val="24"/>
              </w:rPr>
              <w:t>C2 mo1%</w:t>
            </w:r>
          </w:p>
        </w:tc>
        <w:tc>
          <w:tcPr>
            <w:tcW w:w="4559" w:type="dxa"/>
            <w:vAlign w:val="top"/>
          </w:tcPr>
          <w:p w14:paraId="1A6E6968">
            <w:pPr>
              <w:jc w:val="center"/>
            </w:pPr>
            <w:r>
              <w:rPr>
                <w:rFonts w:ascii="仿宋_GB2312" w:hAnsi="仿宋"/>
                <w:sz w:val="24"/>
              </w:rPr>
              <w:t>2.585</w:t>
            </w:r>
          </w:p>
        </w:tc>
      </w:tr>
      <w:tr w14:paraId="577FC72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4EF881AE">
            <w:pPr>
              <w:jc w:val="left"/>
            </w:pPr>
            <w:r>
              <w:rPr>
                <w:rFonts w:ascii="仿宋_GB2312" w:hAnsi="仿宋"/>
                <w:sz w:val="24"/>
              </w:rPr>
              <w:t>C3 mo1%</w:t>
            </w:r>
          </w:p>
        </w:tc>
        <w:tc>
          <w:tcPr>
            <w:tcW w:w="4559" w:type="dxa"/>
            <w:vAlign w:val="top"/>
          </w:tcPr>
          <w:p w14:paraId="099B1A00">
            <w:pPr>
              <w:jc w:val="center"/>
            </w:pPr>
            <w:r>
              <w:rPr>
                <w:rFonts w:ascii="仿宋_GB2312" w:hAnsi="仿宋"/>
                <w:sz w:val="24"/>
              </w:rPr>
              <w:t>0.489</w:t>
            </w:r>
          </w:p>
        </w:tc>
      </w:tr>
      <w:tr w14:paraId="413BA8C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1932210F">
            <w:pPr>
              <w:jc w:val="left"/>
            </w:pPr>
            <w:r>
              <w:rPr>
                <w:rFonts w:ascii="仿宋_GB2312" w:hAnsi="仿宋"/>
                <w:sz w:val="24"/>
              </w:rPr>
              <w:t>iC4 mo1%</w:t>
            </w:r>
          </w:p>
        </w:tc>
        <w:tc>
          <w:tcPr>
            <w:tcW w:w="4559" w:type="dxa"/>
            <w:vAlign w:val="top"/>
          </w:tcPr>
          <w:p w14:paraId="28061794">
            <w:pPr>
              <w:jc w:val="center"/>
            </w:pPr>
            <w:r>
              <w:rPr>
                <w:rFonts w:ascii="仿宋_GB2312" w:hAnsi="仿宋"/>
                <w:sz w:val="24"/>
              </w:rPr>
              <w:t>0.100</w:t>
            </w:r>
          </w:p>
        </w:tc>
      </w:tr>
      <w:tr w14:paraId="16C15AA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551344C4">
            <w:pPr>
              <w:jc w:val="left"/>
            </w:pPr>
            <w:r>
              <w:rPr>
                <w:rFonts w:ascii="仿宋_GB2312" w:hAnsi="仿宋"/>
                <w:sz w:val="24"/>
              </w:rPr>
              <w:t>nC4 mo1%</w:t>
            </w:r>
          </w:p>
        </w:tc>
        <w:tc>
          <w:tcPr>
            <w:tcW w:w="4559" w:type="dxa"/>
            <w:vAlign w:val="top"/>
          </w:tcPr>
          <w:p w14:paraId="18A265E1">
            <w:pPr>
              <w:jc w:val="center"/>
            </w:pPr>
            <w:r>
              <w:rPr>
                <w:rFonts w:ascii="仿宋_GB2312" w:hAnsi="仿宋"/>
                <w:sz w:val="24"/>
              </w:rPr>
              <w:t>0.118</w:t>
            </w:r>
          </w:p>
        </w:tc>
      </w:tr>
      <w:tr w14:paraId="292523C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15D9B249">
            <w:pPr>
              <w:jc w:val="left"/>
            </w:pPr>
            <w:r>
              <w:rPr>
                <w:rFonts w:ascii="仿宋_GB2312" w:hAnsi="仿宋"/>
                <w:sz w:val="24"/>
              </w:rPr>
              <w:t>iC5 mo1%</w:t>
            </w:r>
          </w:p>
        </w:tc>
        <w:tc>
          <w:tcPr>
            <w:tcW w:w="4559" w:type="dxa"/>
            <w:vAlign w:val="top"/>
          </w:tcPr>
          <w:p w14:paraId="2065116B">
            <w:pPr>
              <w:jc w:val="center"/>
            </w:pPr>
            <w:r>
              <w:rPr>
                <w:rFonts w:ascii="仿宋_GB2312" w:hAnsi="仿宋"/>
                <w:sz w:val="24"/>
              </w:rPr>
              <w:t>0.003</w:t>
            </w:r>
          </w:p>
        </w:tc>
      </w:tr>
      <w:tr w14:paraId="40BA22F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4EEA7D9A">
            <w:pPr>
              <w:jc w:val="left"/>
            </w:pPr>
            <w:r>
              <w:rPr>
                <w:rFonts w:ascii="仿宋_GB2312" w:hAnsi="仿宋"/>
                <w:sz w:val="24"/>
              </w:rPr>
              <w:t>nC5 mo1%</w:t>
            </w:r>
          </w:p>
        </w:tc>
        <w:tc>
          <w:tcPr>
            <w:tcW w:w="4559" w:type="dxa"/>
            <w:vAlign w:val="top"/>
          </w:tcPr>
          <w:p w14:paraId="47E60FE6">
            <w:pPr>
              <w:jc w:val="center"/>
            </w:pPr>
            <w:r>
              <w:rPr>
                <w:rFonts w:ascii="仿宋_GB2312" w:hAnsi="仿宋"/>
                <w:sz w:val="24"/>
              </w:rPr>
              <w:t>0.003</w:t>
            </w:r>
          </w:p>
        </w:tc>
      </w:tr>
      <w:tr w14:paraId="11A2288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219CEC9C">
            <w:pPr>
              <w:jc w:val="left"/>
            </w:pPr>
            <w:r>
              <w:rPr>
                <w:rFonts w:ascii="仿宋_GB2312" w:hAnsi="仿宋"/>
                <w:sz w:val="24"/>
              </w:rPr>
              <w:t>其他碳烃化合物 mo1%</w:t>
            </w:r>
          </w:p>
        </w:tc>
        <w:tc>
          <w:tcPr>
            <w:tcW w:w="4559" w:type="dxa"/>
            <w:vAlign w:val="top"/>
          </w:tcPr>
          <w:p w14:paraId="6C7A3975">
            <w:pPr>
              <w:jc w:val="center"/>
            </w:pPr>
            <w:r>
              <w:rPr>
                <w:rFonts w:ascii="仿宋_GB2312" w:hAnsi="仿宋"/>
                <w:sz w:val="24"/>
              </w:rPr>
              <w:t>0.003</w:t>
            </w:r>
          </w:p>
        </w:tc>
      </w:tr>
      <w:tr w14:paraId="23D3391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5563FE99">
            <w:pPr>
              <w:jc w:val="left"/>
            </w:pPr>
            <w:r>
              <w:rPr>
                <w:rFonts w:ascii="仿宋_GB2312" w:hAnsi="仿宋"/>
                <w:sz w:val="24"/>
              </w:rPr>
              <w:t>N2 mo1%</w:t>
            </w:r>
          </w:p>
        </w:tc>
        <w:tc>
          <w:tcPr>
            <w:tcW w:w="4559" w:type="dxa"/>
            <w:vAlign w:val="top"/>
          </w:tcPr>
          <w:p w14:paraId="077CB9A4">
            <w:pPr>
              <w:jc w:val="center"/>
            </w:pPr>
            <w:r>
              <w:rPr>
                <w:rFonts w:ascii="仿宋_GB2312" w:hAnsi="仿宋"/>
                <w:sz w:val="24"/>
              </w:rPr>
              <w:t>0.400</w:t>
            </w:r>
          </w:p>
        </w:tc>
      </w:tr>
      <w:tr w14:paraId="018AF37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0B830BBA">
            <w:pPr>
              <w:jc w:val="left"/>
            </w:pPr>
            <w:r>
              <w:rPr>
                <w:rFonts w:ascii="仿宋_GB2312" w:hAnsi="仿宋"/>
                <w:sz w:val="24"/>
              </w:rPr>
              <w:t>华白指数（MJ/m</w:t>
            </w:r>
            <w:r>
              <w:rPr>
                <w:rFonts w:ascii="仿宋_GB2312" w:hAnsi="仿宋"/>
                <w:sz w:val="24"/>
                <w:vertAlign w:val="superscript"/>
              </w:rPr>
              <w:t>3</w:t>
            </w:r>
            <w:r>
              <w:rPr>
                <w:rFonts w:ascii="仿宋_GB2312" w:hAnsi="仿宋"/>
                <w:sz w:val="24"/>
              </w:rPr>
              <w:t>）</w:t>
            </w:r>
          </w:p>
        </w:tc>
        <w:tc>
          <w:tcPr>
            <w:tcW w:w="4559" w:type="dxa"/>
            <w:vAlign w:val="top"/>
          </w:tcPr>
          <w:p w14:paraId="4B4A7640">
            <w:pPr>
              <w:jc w:val="center"/>
            </w:pPr>
            <w:r>
              <w:rPr>
                <w:rFonts w:ascii="仿宋_GB2312" w:hAnsi="仿宋"/>
                <w:sz w:val="24"/>
              </w:rPr>
              <w:t>51.06</w:t>
            </w:r>
          </w:p>
        </w:tc>
      </w:tr>
      <w:tr w14:paraId="52E22B3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25D7EB53">
            <w:pPr>
              <w:jc w:val="left"/>
            </w:pPr>
            <w:r>
              <w:rPr>
                <w:rFonts w:ascii="仿宋_GB2312" w:hAnsi="仿宋"/>
                <w:sz w:val="24"/>
              </w:rPr>
              <w:t>低热值（MJ/m</w:t>
            </w:r>
            <w:r>
              <w:rPr>
                <w:rFonts w:ascii="仿宋_GB2312" w:hAnsi="仿宋"/>
                <w:sz w:val="24"/>
                <w:vertAlign w:val="superscript"/>
              </w:rPr>
              <w:t>3</w:t>
            </w:r>
            <w:r>
              <w:rPr>
                <w:rFonts w:ascii="仿宋_GB2312" w:hAnsi="仿宋"/>
                <w:sz w:val="24"/>
              </w:rPr>
              <w:t>）</w:t>
            </w:r>
          </w:p>
        </w:tc>
        <w:tc>
          <w:tcPr>
            <w:tcW w:w="4559" w:type="dxa"/>
            <w:vAlign w:val="top"/>
          </w:tcPr>
          <w:p w14:paraId="73D992F7">
            <w:pPr>
              <w:jc w:val="center"/>
            </w:pPr>
            <w:r>
              <w:rPr>
                <w:rFonts w:ascii="仿宋_GB2312" w:hAnsi="仿宋"/>
                <w:sz w:val="24"/>
              </w:rPr>
              <w:t>34.94</w:t>
            </w:r>
          </w:p>
        </w:tc>
      </w:tr>
      <w:tr w14:paraId="5705D04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24FF2317">
            <w:pPr>
              <w:jc w:val="left"/>
            </w:pPr>
            <w:r>
              <w:rPr>
                <w:rFonts w:ascii="仿宋_GB2312" w:hAnsi="仿宋"/>
                <w:sz w:val="24"/>
              </w:rPr>
              <w:t>气化温度（℃）</w:t>
            </w:r>
          </w:p>
        </w:tc>
        <w:tc>
          <w:tcPr>
            <w:tcW w:w="4559" w:type="dxa"/>
            <w:vAlign w:val="top"/>
          </w:tcPr>
          <w:p w14:paraId="56AAFBD7">
            <w:pPr>
              <w:jc w:val="center"/>
            </w:pPr>
            <w:r>
              <w:rPr>
                <w:rFonts w:ascii="仿宋_GB2312" w:hAnsi="仿宋"/>
                <w:sz w:val="24"/>
              </w:rPr>
              <w:t>-160.2</w:t>
            </w:r>
          </w:p>
        </w:tc>
      </w:tr>
      <w:tr w14:paraId="556B8E2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6450C8E5">
            <w:pPr>
              <w:jc w:val="left"/>
            </w:pPr>
            <w:r>
              <w:rPr>
                <w:rFonts w:ascii="仿宋_GB2312" w:hAnsi="仿宋"/>
                <w:sz w:val="24"/>
              </w:rPr>
              <w:t>液相密度（kg/m</w:t>
            </w:r>
            <w:r>
              <w:rPr>
                <w:rFonts w:ascii="仿宋_GB2312" w:hAnsi="仿宋"/>
                <w:sz w:val="24"/>
                <w:vertAlign w:val="superscript"/>
              </w:rPr>
              <w:t>3</w:t>
            </w:r>
            <w:r>
              <w:rPr>
                <w:rFonts w:ascii="仿宋_GB2312" w:hAnsi="仿宋"/>
                <w:sz w:val="24"/>
              </w:rPr>
              <w:t>）</w:t>
            </w:r>
          </w:p>
        </w:tc>
        <w:tc>
          <w:tcPr>
            <w:tcW w:w="4559" w:type="dxa"/>
            <w:vAlign w:val="top"/>
          </w:tcPr>
          <w:p w14:paraId="54E69D95">
            <w:pPr>
              <w:jc w:val="center"/>
            </w:pPr>
            <w:r>
              <w:rPr>
                <w:rFonts w:ascii="仿宋_GB2312" w:hAnsi="仿宋"/>
                <w:sz w:val="24"/>
              </w:rPr>
              <w:t>440.1</w:t>
            </w:r>
          </w:p>
        </w:tc>
      </w:tr>
      <w:tr w14:paraId="24A6088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4558" w:type="dxa"/>
            <w:vAlign w:val="top"/>
          </w:tcPr>
          <w:p w14:paraId="0C0D16CC">
            <w:pPr>
              <w:jc w:val="left"/>
            </w:pPr>
            <w:r>
              <w:rPr>
                <w:rFonts w:ascii="仿宋_GB2312" w:hAnsi="仿宋"/>
                <w:sz w:val="24"/>
              </w:rPr>
              <w:t>气相密度（kg/m</w:t>
            </w:r>
            <w:r>
              <w:rPr>
                <w:rFonts w:ascii="仿宋_GB2312" w:hAnsi="仿宋"/>
                <w:sz w:val="24"/>
                <w:vertAlign w:val="superscript"/>
              </w:rPr>
              <w:t>3</w:t>
            </w:r>
            <w:r>
              <w:rPr>
                <w:rFonts w:ascii="仿宋_GB2312" w:hAnsi="仿宋"/>
                <w:sz w:val="24"/>
              </w:rPr>
              <w:t>）</w:t>
            </w:r>
          </w:p>
        </w:tc>
        <w:tc>
          <w:tcPr>
            <w:tcW w:w="4559" w:type="dxa"/>
            <w:vAlign w:val="top"/>
          </w:tcPr>
          <w:p w14:paraId="572640C8">
            <w:pPr>
              <w:jc w:val="center"/>
            </w:pPr>
            <w:r>
              <w:rPr>
                <w:rFonts w:ascii="仿宋_GB2312" w:hAnsi="仿宋"/>
                <w:sz w:val="24"/>
              </w:rPr>
              <w:t>0.706</w:t>
            </w:r>
          </w:p>
        </w:tc>
      </w:tr>
    </w:tbl>
    <w:p w14:paraId="129535B1">
      <w:pPr>
        <w:spacing w:line="600" w:lineRule="exact"/>
        <w:ind w:firstLine="548"/>
        <w:rPr>
          <w:rFonts w:ascii="仿宋_GB2312" w:hAnsi="仿宋"/>
          <w:sz w:val="29"/>
        </w:rPr>
      </w:pPr>
    </w:p>
    <w:p w14:paraId="1B98F198">
      <w:pPr>
        <w:spacing w:line="600" w:lineRule="exact"/>
        <w:ind w:firstLine="548"/>
        <w:sectPr>
          <w:pgSz w:w="11907" w:h="16840"/>
          <w:pgMar w:top="1588" w:right="1418" w:bottom="1418" w:left="1588" w:header="720" w:footer="720" w:gutter="0"/>
          <w:cols w:space="720" w:num="1"/>
        </w:sectPr>
      </w:pPr>
    </w:p>
    <w:p w14:paraId="36CA3F8F">
      <w:pPr>
        <w:pStyle w:val="11"/>
        <w:numPr>
          <w:ilvl w:val="0"/>
          <w:numId w:val="1"/>
        </w:numPr>
        <w:spacing w:before="0" w:after="0" w:line="600" w:lineRule="exact"/>
        <w:jc w:val="center"/>
      </w:pPr>
      <w:r>
        <w:rPr>
          <w:rFonts w:ascii="仿宋_GB2312" w:hAnsi="仿宋"/>
          <w:b/>
          <w:sz w:val="36"/>
          <w:szCs w:val="36"/>
        </w:rPr>
        <w:t>规划目标和重点任务</w:t>
      </w:r>
    </w:p>
    <w:p w14:paraId="4A2E75B1">
      <w:pPr>
        <w:rPr>
          <w:rFonts w:ascii="仿宋_GB2312" w:hAnsi="仿宋"/>
        </w:rPr>
      </w:pPr>
    </w:p>
    <w:p w14:paraId="443E1A86">
      <w:pPr>
        <w:ind w:firstLine="548"/>
      </w:pPr>
      <w:r>
        <w:rPr>
          <w:rFonts w:ascii="仿宋_GB2312" w:hAnsi="仿宋"/>
          <w:sz w:val="29"/>
        </w:rPr>
        <w:t>福建省城镇燃气基础设施建设与发展“十二五”规划，以科学发展观为指导，紧紧围绕福建省加快建设海峡西岸经济区的需要，积极开拓气源、普及服务、优化网络、拓展市场。</w:t>
      </w:r>
    </w:p>
    <w:p w14:paraId="03742C8F">
      <w:pPr>
        <w:ind w:firstLine="548"/>
      </w:pPr>
      <w:r>
        <w:rPr>
          <w:rFonts w:ascii="仿宋_GB2312" w:hAnsi="仿宋"/>
          <w:sz w:val="29"/>
        </w:rPr>
        <w:t>（一）规划目标</w:t>
      </w:r>
    </w:p>
    <w:p w14:paraId="1CDB1499">
      <w:pPr>
        <w:spacing w:line="600" w:lineRule="exact"/>
        <w:ind w:firstLine="548"/>
      </w:pPr>
      <w:r>
        <w:rPr>
          <w:rFonts w:ascii="仿宋_GB2312" w:hAnsi="仿宋"/>
          <w:sz w:val="29"/>
        </w:rPr>
        <w:t>１、原则上不再新增液化石油气储配站、灌瓶站，加快LNG管网和卫星站建设，实现LNG气化站与管道供气方式滚动协调发展，逐步以支线管道供气替代LNG气化站，满足城镇用户不断增长使用燃气的需要。</w:t>
      </w:r>
    </w:p>
    <w:p w14:paraId="181BA9B4">
      <w:pPr>
        <w:ind w:firstLine="466"/>
      </w:pPr>
      <w:r>
        <w:rPr>
          <w:rFonts w:ascii="仿宋_GB2312" w:hAnsi="仿宋"/>
          <w:sz w:val="29"/>
        </w:rPr>
        <w:t>２、贯彻“以人为本”的科学发展思想，将满足居民用气需要作为重点，在此基础上拓展工业、汽车和公共服务用气；充分发挥清洁能源优势，引导和促进福建省能源结构的优化；落实海西纲要及城镇群、能源规划的要求，适当超前建设。</w:t>
      </w:r>
    </w:p>
    <w:p w14:paraId="33EBF594">
      <w:pPr>
        <w:ind w:firstLine="466"/>
      </w:pPr>
      <w:r>
        <w:rPr>
          <w:rFonts w:ascii="仿宋_GB2312" w:hAnsi="仿宋"/>
          <w:sz w:val="29"/>
        </w:rPr>
        <w:t>３、积极拓展远期供气渠道，做到海陆资源互补，开源、储备并重；提前预留新增气源的管输和场站接入，积极推进西气东输项目管线接入福建管网，提高全省天然气供气安全保障水平。</w:t>
      </w:r>
    </w:p>
    <w:p w14:paraId="59880E04">
      <w:pPr>
        <w:ind w:firstLine="466"/>
      </w:pPr>
      <w:r>
        <w:rPr>
          <w:rFonts w:ascii="仿宋_GB2312" w:hAnsi="仿宋"/>
          <w:sz w:val="29"/>
        </w:rPr>
        <w:t>４、加快推进东南沿海天然气通道建设，优化干线和支线管网布局，完善沿海市场，积极开拓闽北、闽西地区市场，优化市场布局。</w:t>
      </w:r>
    </w:p>
    <w:p w14:paraId="61D8D8E0">
      <w:pPr>
        <w:ind w:firstLine="466"/>
      </w:pPr>
      <w:r>
        <w:rPr>
          <w:rFonts w:ascii="仿宋_GB2312" w:hAnsi="仿宋"/>
          <w:sz w:val="29"/>
        </w:rPr>
        <w:t>５、保护燃气管线通道资源，节省土地与投资。立足本省，辐射海西，协调好对外接口，并对各设区市配网形成总买总卖，统一市场，降低潜在风险。</w:t>
      </w:r>
    </w:p>
    <w:p w14:paraId="747A621E">
      <w:pPr>
        <w:ind w:firstLine="548"/>
      </w:pPr>
      <w:r>
        <w:rPr>
          <w:rFonts w:ascii="仿宋_GB2312" w:hAnsi="仿宋"/>
          <w:sz w:val="29"/>
        </w:rPr>
        <w:t>（二）重点任务</w:t>
      </w:r>
    </w:p>
    <w:p w14:paraId="6C8A7F1F">
      <w:pPr>
        <w:ind w:firstLine="466"/>
      </w:pPr>
      <w:r>
        <w:rPr>
          <w:rFonts w:ascii="仿宋_GB2312" w:hAnsi="仿宋"/>
          <w:sz w:val="29"/>
        </w:rPr>
        <w:t>按照2020年前建成“覆盖全省，对接两洲，辐射内陆，清洁安全”的海峡西岸经济区天然气管网的总体目标，到2020年全省共建设天然气供气管线3609公里，LNG接收站2座、天然气分输站72座、LNG气化站96座，以及相应的天然气管理和调度系统。LNG汽车加气站356座。</w:t>
      </w:r>
    </w:p>
    <w:p w14:paraId="1E8A0712">
      <w:pPr>
        <w:ind w:firstLine="466"/>
      </w:pPr>
      <w:r>
        <w:rPr>
          <w:rFonts w:ascii="仿宋_GB2312" w:hAnsi="仿宋"/>
          <w:sz w:val="29"/>
        </w:rPr>
        <w:t>在“十二五”期间，福建省城镇燃气基础设施规划的重点任务是：</w:t>
      </w:r>
    </w:p>
    <w:p w14:paraId="09C508E5">
      <w:pPr>
        <w:ind w:firstLine="548"/>
      </w:pPr>
      <w:r>
        <w:rPr>
          <w:rFonts w:ascii="仿宋_GB2312" w:hAnsi="仿宋"/>
          <w:sz w:val="29"/>
        </w:rPr>
        <w:t>2012年前，主干线延伸实施福州至福鼎对接浙江温州天然气管网，形成沿海大动脉；新增覆盖4个主城区和10个县市,共计覆盖省内9个设区市主城区和15个县市。加快漳州至龙岩、福州至南平、三明干线建设。启动宁德LNG接收站建设。</w:t>
      </w:r>
    </w:p>
    <w:p w14:paraId="18691BA4">
      <w:pPr>
        <w:ind w:firstLine="548"/>
      </w:pPr>
      <w:r>
        <w:rPr>
          <w:rFonts w:ascii="仿宋_GB2312" w:hAnsi="仿宋"/>
          <w:sz w:val="29"/>
        </w:rPr>
        <w:t>2015年前，主干线延伸实施龙岩至长汀对接江西赣州天然气管网；漳州至诏安对接广东潮州天然气管网，形成“两纵两横”供气主干网；新增覆盖14个县市,共计覆盖省内9个设区市主城区和29个县市。基本完成LNG气化站建设，积极推进支线建设，90%以上县城使用天然气。</w:t>
      </w:r>
    </w:p>
    <w:p w14:paraId="74006644">
      <w:pPr>
        <w:ind w:firstLine="548"/>
      </w:pPr>
      <w:r>
        <w:rPr>
          <w:rFonts w:ascii="仿宋_GB2312" w:hAnsi="仿宋"/>
          <w:sz w:val="29"/>
        </w:rPr>
        <w:t>发展绿色交通，大力推广天然气汽车，可以改善环境，调整能源消费结构，拉低交通运输业运行成本，拓展LNG 下游市场，促进相关产业发展。２０１５年前新建LNG汽车加气站２０３座，总供应LNG量９３万吨/年。使12090辆公交车、18622辆出租车、7612辆长途客车和2664辆专用载货汽车全部使用LNG作为替油燃料。</w:t>
      </w:r>
    </w:p>
    <w:p w14:paraId="575D53E0">
      <w:pPr>
        <w:spacing w:line="600" w:lineRule="exact"/>
        <w:sectPr>
          <w:pgSz w:w="11907" w:h="16840"/>
          <w:pgMar w:top="1588" w:right="1418" w:bottom="1418" w:left="1588" w:header="720" w:footer="720" w:gutter="0"/>
          <w:cols w:space="720" w:num="1"/>
        </w:sectPr>
      </w:pPr>
    </w:p>
    <w:p w14:paraId="2A34A5F0">
      <w:pPr>
        <w:pStyle w:val="11"/>
        <w:spacing w:before="0" w:after="0" w:line="600" w:lineRule="exact"/>
        <w:jc w:val="center"/>
      </w:pPr>
      <w:r>
        <w:rPr>
          <w:rFonts w:ascii="仿宋_GB2312" w:hAnsi="仿宋"/>
          <w:b/>
          <w:sz w:val="36"/>
          <w:szCs w:val="36"/>
        </w:rPr>
        <w:t>第五章  需求预测</w:t>
      </w:r>
    </w:p>
    <w:p w14:paraId="07D78202">
      <w:r>
        <w:rPr>
          <w:rFonts w:ascii="仿宋_GB2312" w:hAnsi="仿宋"/>
          <w:sz w:val="29"/>
        </w:rPr>
        <w:t>（一）市场范围</w:t>
      </w:r>
    </w:p>
    <w:p w14:paraId="4ECF13F7">
      <w:pPr>
        <w:ind w:firstLine="548"/>
      </w:pPr>
      <w:r>
        <w:rPr>
          <w:rFonts w:ascii="仿宋_GB2312" w:hAnsi="仿宋"/>
          <w:sz w:val="29"/>
        </w:rPr>
        <w:t>燃气市场需求预测范围，包括全省9个设区城市，1个综合试验区及57个县（市）（未含金门县），详见表1-1。</w:t>
      </w:r>
    </w:p>
    <w:p w14:paraId="3EE2BFC6">
      <w:r>
        <w:rPr>
          <w:rFonts w:ascii="仿宋_GB2312" w:hAnsi="仿宋"/>
          <w:sz w:val="29"/>
        </w:rPr>
        <w:t>（二）天然气市场用户类别</w:t>
      </w:r>
    </w:p>
    <w:p w14:paraId="7F0BBBC2">
      <w:r>
        <w:rPr>
          <w:rFonts w:ascii="仿宋_GB2312" w:hAnsi="仿宋"/>
          <w:sz w:val="29"/>
        </w:rPr>
        <w:t>天然气市场用户类别包括：</w:t>
      </w:r>
    </w:p>
    <w:p w14:paraId="6DA3B73B">
      <w:pPr>
        <w:ind w:firstLine="548"/>
      </w:pPr>
      <w:r>
        <w:rPr>
          <w:rFonts w:ascii="仿宋_GB2312" w:hAnsi="仿宋"/>
          <w:sz w:val="29"/>
        </w:rPr>
        <w:t>■居民炊事及生活热水</w:t>
      </w:r>
    </w:p>
    <w:p w14:paraId="3D754AAF">
      <w:pPr>
        <w:ind w:firstLine="548"/>
      </w:pPr>
      <w:r>
        <w:rPr>
          <w:rFonts w:ascii="仿宋_GB2312" w:hAnsi="仿宋"/>
          <w:sz w:val="29"/>
        </w:rPr>
        <w:t>■公共服务用气</w:t>
      </w:r>
    </w:p>
    <w:p w14:paraId="760E11E8">
      <w:pPr>
        <w:ind w:firstLine="548"/>
      </w:pPr>
      <w:r>
        <w:rPr>
          <w:rFonts w:ascii="仿宋_GB2312" w:hAnsi="仿宋"/>
          <w:sz w:val="29"/>
        </w:rPr>
        <w:t>■工业用气（包括工艺用气及工业用锅炉、直燃机采暖制冷）</w:t>
      </w:r>
    </w:p>
    <w:p w14:paraId="398C45F9">
      <w:pPr>
        <w:ind w:firstLine="548"/>
      </w:pPr>
      <w:r>
        <w:rPr>
          <w:rFonts w:ascii="仿宋_GB2312" w:hAnsi="仿宋"/>
          <w:sz w:val="29"/>
        </w:rPr>
        <w:t>■联合循环燃气轮机（CCGT）发电</w:t>
      </w:r>
    </w:p>
    <w:p w14:paraId="6A8B1734">
      <w:pPr>
        <w:ind w:firstLine="548"/>
      </w:pPr>
      <w:r>
        <w:rPr>
          <w:rFonts w:ascii="仿宋_GB2312" w:hAnsi="仿宋"/>
          <w:sz w:val="29"/>
        </w:rPr>
        <w:t>■制冷及采暖用气</w:t>
      </w:r>
    </w:p>
    <w:p w14:paraId="444EC570">
      <w:pPr>
        <w:ind w:firstLine="548"/>
      </w:pPr>
      <w:r>
        <w:rPr>
          <w:rFonts w:ascii="仿宋_GB2312" w:hAnsi="仿宋"/>
          <w:sz w:val="29"/>
        </w:rPr>
        <w:t>■汽车燃料</w:t>
      </w:r>
    </w:p>
    <w:p w14:paraId="3C7F9D87">
      <w:pPr>
        <w:ind w:firstLine="548"/>
      </w:pPr>
      <w:r>
        <w:rPr>
          <w:rFonts w:ascii="仿宋_GB2312" w:hAnsi="仿宋"/>
          <w:sz w:val="29"/>
        </w:rPr>
        <w:t>■未可预见量（冷、热、电三联供等）</w:t>
      </w:r>
    </w:p>
    <w:p w14:paraId="5A2A6E7F">
      <w:r>
        <w:rPr>
          <w:rFonts w:ascii="仿宋_GB2312" w:hAnsi="仿宋"/>
          <w:sz w:val="29"/>
        </w:rPr>
        <w:t>（三）市场类别的划分</w:t>
      </w:r>
    </w:p>
    <w:p w14:paraId="4B02B8F7">
      <w:pPr>
        <w:ind w:firstLine="548"/>
      </w:pPr>
      <w:r>
        <w:rPr>
          <w:rFonts w:ascii="仿宋_GB2312" w:hAnsi="仿宋"/>
          <w:sz w:val="29"/>
        </w:rPr>
        <w:t>为了更好地预测市场发展，根据福建省各地区经济发展情况、现状及规划人口规模、工业用气市场潜力等因素，将省内天然气市场分为三类：</w:t>
      </w:r>
    </w:p>
    <w:p w14:paraId="02C6D4C5">
      <w:pPr>
        <w:ind w:firstLine="466"/>
      </w:pPr>
      <w:r>
        <w:rPr>
          <w:rFonts w:ascii="仿宋_GB2312" w:hAnsi="仿宋"/>
          <w:sz w:val="29"/>
        </w:rPr>
        <w:t>Ⅰ类市场：居民生活、公共服务、工业、发电、汽车燃料等用气消耗量大的地区。经分析包括4个设区城市及5个县（市）。</w:t>
      </w:r>
    </w:p>
    <w:p w14:paraId="7D503A18">
      <w:pPr>
        <w:ind w:firstLine="466"/>
      </w:pPr>
      <w:r>
        <w:rPr>
          <w:rFonts w:ascii="仿宋_GB2312" w:hAnsi="仿宋"/>
          <w:sz w:val="29"/>
        </w:rPr>
        <w:t>Ⅱ类市场：居民生活、公共服务、工业、汽车燃料等用气消耗量较大的地区。经分析包括5个设区城市及23个县（市）。</w:t>
      </w:r>
    </w:p>
    <w:p w14:paraId="2FB93841">
      <w:pPr>
        <w:ind w:firstLine="466"/>
      </w:pPr>
      <w:r>
        <w:rPr>
          <w:rFonts w:ascii="仿宋_GB2312" w:hAnsi="仿宋"/>
          <w:sz w:val="29"/>
        </w:rPr>
        <w:t>Ⅲ类市场：主要为保障居民生活和公共服务用气的地区，为除开I类、II类市场之外的30个县（市、综合试验区）。</w:t>
      </w:r>
    </w:p>
    <w:p w14:paraId="34690F6D">
      <w:pPr>
        <w:spacing w:line="600" w:lineRule="exact"/>
        <w:ind w:firstLine="548"/>
      </w:pPr>
      <w:r>
        <w:rPr>
          <w:rFonts w:ascii="仿宋_GB2312" w:hAnsi="仿宋"/>
          <w:sz w:val="29"/>
        </w:rPr>
        <w:t>具体划分详见表5-1：区域分布详见图2-1.</w:t>
      </w:r>
    </w:p>
    <w:p w14:paraId="31C8896D">
      <w:pPr>
        <w:spacing w:line="600" w:lineRule="exact"/>
        <w:ind w:firstLine="397"/>
        <w:jc w:val="center"/>
      </w:pPr>
      <w:r>
        <w:rPr>
          <w:rFonts w:ascii="仿宋_GB2312" w:hAnsi="仿宋"/>
          <w:szCs w:val="21"/>
        </w:rPr>
        <w:t xml:space="preserve">表5-1 </w:t>
      </w:r>
      <w:r>
        <w:rPr>
          <w:rFonts w:ascii="仿宋_GB2312" w:hAnsi="仿宋"/>
          <w:sz w:val="29"/>
        </w:rPr>
        <w:t xml:space="preserve"> </w:t>
      </w:r>
      <w:r>
        <w:rPr>
          <w:rFonts w:ascii="仿宋_GB2312" w:hAnsi="仿宋"/>
          <w:sz w:val="24"/>
        </w:rPr>
        <w:t>天然气市场划分表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505"/>
        <w:gridCol w:w="1388"/>
        <w:gridCol w:w="7224"/>
      </w:tblGrid>
      <w:tr w14:paraId="2B5CFE1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PrEx>
        <w:tc>
          <w:tcPr>
            <w:tcW w:w="505" w:type="dxa"/>
            <w:vAlign w:val="center"/>
          </w:tcPr>
          <w:p w14:paraId="344971F4">
            <w:pPr>
              <w:spacing w:line="440" w:lineRule="exact"/>
              <w:jc w:val="center"/>
            </w:pPr>
            <w:r>
              <w:rPr>
                <w:rFonts w:ascii="仿宋_GB2312" w:hAnsi="仿宋"/>
                <w:sz w:val="24"/>
              </w:rPr>
              <w:t>序号</w:t>
            </w:r>
          </w:p>
        </w:tc>
        <w:tc>
          <w:tcPr>
            <w:tcW w:w="1388" w:type="dxa"/>
            <w:vAlign w:val="center"/>
          </w:tcPr>
          <w:p w14:paraId="098A9D5D">
            <w:pPr>
              <w:spacing w:line="440" w:lineRule="exact"/>
              <w:jc w:val="center"/>
            </w:pPr>
            <w:r>
              <w:rPr>
                <w:rFonts w:ascii="仿宋_GB2312" w:hAnsi="仿宋"/>
                <w:sz w:val="24"/>
              </w:rPr>
              <w:t>市场类别</w:t>
            </w:r>
          </w:p>
        </w:tc>
        <w:tc>
          <w:tcPr>
            <w:tcW w:w="7224" w:type="dxa"/>
            <w:vAlign w:val="center"/>
          </w:tcPr>
          <w:p w14:paraId="54E9365F">
            <w:pPr>
              <w:spacing w:line="440" w:lineRule="exact"/>
              <w:jc w:val="center"/>
            </w:pPr>
            <w:r>
              <w:rPr>
                <w:rFonts w:ascii="仿宋_GB2312" w:hAnsi="仿宋"/>
                <w:sz w:val="24"/>
              </w:rPr>
              <w:t>区域名称</w:t>
            </w:r>
          </w:p>
        </w:tc>
      </w:tr>
      <w:tr w14:paraId="64803B5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05" w:type="dxa"/>
            <w:vAlign w:val="center"/>
          </w:tcPr>
          <w:p w14:paraId="71E0D2CC">
            <w:pPr>
              <w:spacing w:line="440" w:lineRule="exact"/>
              <w:jc w:val="center"/>
            </w:pPr>
            <w:r>
              <w:rPr>
                <w:rFonts w:ascii="仿宋_GB2312" w:hAnsi="仿宋"/>
                <w:sz w:val="24"/>
              </w:rPr>
              <w:t>1</w:t>
            </w:r>
          </w:p>
        </w:tc>
        <w:tc>
          <w:tcPr>
            <w:tcW w:w="1388" w:type="dxa"/>
            <w:vAlign w:val="center"/>
          </w:tcPr>
          <w:p w14:paraId="35728D34">
            <w:pPr>
              <w:spacing w:line="440" w:lineRule="exact"/>
              <w:jc w:val="center"/>
            </w:pPr>
            <w:r>
              <w:rPr>
                <w:rFonts w:ascii="仿宋_GB2312" w:hAnsi="仿宋"/>
                <w:sz w:val="24"/>
              </w:rPr>
              <w:t>Ⅰ类市场</w:t>
            </w:r>
          </w:p>
        </w:tc>
        <w:tc>
          <w:tcPr>
            <w:tcW w:w="7224" w:type="dxa"/>
            <w:vAlign w:val="top"/>
          </w:tcPr>
          <w:p w14:paraId="7E99500D">
            <w:pPr>
              <w:spacing w:line="440" w:lineRule="exact"/>
            </w:pPr>
            <w:r>
              <w:rPr>
                <w:rFonts w:ascii="仿宋_GB2312" w:hAnsi="仿宋"/>
                <w:sz w:val="24"/>
              </w:rPr>
              <w:t>即福州市区、厦门市、泉州市区、莆田市区和南安市、晋江市、福清市、德化县、闽清县。</w:t>
            </w:r>
          </w:p>
        </w:tc>
      </w:tr>
      <w:tr w14:paraId="323C1D6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05" w:type="dxa"/>
            <w:vAlign w:val="center"/>
          </w:tcPr>
          <w:p w14:paraId="23900071">
            <w:pPr>
              <w:spacing w:line="440" w:lineRule="exact"/>
              <w:jc w:val="center"/>
            </w:pPr>
            <w:r>
              <w:rPr>
                <w:rFonts w:ascii="仿宋_GB2312" w:hAnsi="仿宋"/>
                <w:sz w:val="24"/>
              </w:rPr>
              <w:t>2</w:t>
            </w:r>
          </w:p>
        </w:tc>
        <w:tc>
          <w:tcPr>
            <w:tcW w:w="1388" w:type="dxa"/>
            <w:vAlign w:val="center"/>
          </w:tcPr>
          <w:p w14:paraId="75109F03">
            <w:pPr>
              <w:spacing w:line="440" w:lineRule="exact"/>
              <w:jc w:val="center"/>
            </w:pPr>
            <w:r>
              <w:rPr>
                <w:rFonts w:ascii="仿宋_GB2312" w:hAnsi="仿宋"/>
                <w:sz w:val="24"/>
              </w:rPr>
              <w:t>Ⅱ类市场</w:t>
            </w:r>
          </w:p>
        </w:tc>
        <w:tc>
          <w:tcPr>
            <w:tcW w:w="7224" w:type="dxa"/>
            <w:vAlign w:val="top"/>
          </w:tcPr>
          <w:p w14:paraId="750CDD83">
            <w:pPr>
              <w:spacing w:line="440" w:lineRule="exact"/>
            </w:pPr>
            <w:r>
              <w:rPr>
                <w:rFonts w:ascii="仿宋_GB2312" w:hAnsi="仿宋"/>
                <w:sz w:val="24"/>
              </w:rPr>
              <w:t>即漳州市区、宁德市区、南平市区、三明市区、龙岩市区和福安市、福鼎市、霞浦县、连江县、闽侯县、长乐市、仙游县、惠安县、石狮市、永春县、安溪县、沙县、永安市、长汀县、永定县、南靖县、龙海市、漳浦县、诏安县、邵武市、建瓯市、建阳市、浦城县。</w:t>
            </w:r>
          </w:p>
        </w:tc>
      </w:tr>
      <w:tr w14:paraId="7DEF531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c>
          <w:tcPr>
            <w:tcW w:w="505" w:type="dxa"/>
            <w:vAlign w:val="center"/>
          </w:tcPr>
          <w:p w14:paraId="5E8CACDB">
            <w:pPr>
              <w:spacing w:line="440" w:lineRule="exact"/>
              <w:jc w:val="center"/>
            </w:pPr>
            <w:r>
              <w:rPr>
                <w:rFonts w:ascii="仿宋_GB2312" w:hAnsi="仿宋"/>
                <w:sz w:val="24"/>
              </w:rPr>
              <w:t>3</w:t>
            </w:r>
          </w:p>
        </w:tc>
        <w:tc>
          <w:tcPr>
            <w:tcW w:w="1388" w:type="dxa"/>
            <w:vAlign w:val="center"/>
          </w:tcPr>
          <w:p w14:paraId="0A7186C2">
            <w:pPr>
              <w:spacing w:line="440" w:lineRule="exact"/>
              <w:jc w:val="center"/>
            </w:pPr>
            <w:r>
              <w:rPr>
                <w:rFonts w:ascii="仿宋_GB2312" w:hAnsi="仿宋"/>
                <w:sz w:val="24"/>
              </w:rPr>
              <w:t>Ⅲ类市场</w:t>
            </w:r>
          </w:p>
        </w:tc>
        <w:tc>
          <w:tcPr>
            <w:tcW w:w="7224" w:type="dxa"/>
            <w:vAlign w:val="top"/>
          </w:tcPr>
          <w:p w14:paraId="5B7D6FFA">
            <w:pPr>
              <w:spacing w:line="440" w:lineRule="exact"/>
            </w:pPr>
            <w:r>
              <w:rPr>
                <w:rFonts w:ascii="仿宋_GB2312" w:hAnsi="仿宋"/>
                <w:sz w:val="24"/>
              </w:rPr>
              <w:t>经分析包括I类、II类市场之外的30个县（市、综合试验区）</w:t>
            </w:r>
          </w:p>
        </w:tc>
      </w:tr>
    </w:tbl>
    <w:p w14:paraId="3C196A77">
      <w:pPr>
        <w:spacing w:line="600" w:lineRule="exact"/>
        <w:ind w:firstLine="548"/>
        <w:rPr>
          <w:rFonts w:ascii="仿宋_GB2312" w:hAnsi="仿宋"/>
          <w:sz w:val="29"/>
        </w:rPr>
      </w:pPr>
    </w:p>
    <w:p w14:paraId="221E43AA">
      <w:pPr>
        <w:spacing w:line="600" w:lineRule="exact"/>
        <w:ind w:firstLine="580"/>
        <w:rPr>
          <w:rFonts w:ascii="仿宋_GB2312" w:hAnsi="仿宋"/>
          <w:sz w:val="29"/>
        </w:rPr>
      </w:pPr>
      <w:r>
        <w:drawing>
          <wp:anchor distT="0" distB="0" distL="114300" distR="114300" simplePos="0" relativeHeight="251659264" behindDoc="0" locked="0" layoutInCell="1" allowOverlap="1">
            <wp:simplePos x="0" y="0"/>
            <wp:positionH relativeFrom="column">
              <wp:posOffset>266700</wp:posOffset>
            </wp:positionH>
            <wp:positionV relativeFrom="paragraph">
              <wp:posOffset>447040</wp:posOffset>
            </wp:positionV>
            <wp:extent cx="5448300" cy="53422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5448300" cy="5342255"/>
                    </a:xfrm>
                    <a:prstGeom prst="rect">
                      <a:avLst/>
                    </a:prstGeom>
                    <a:noFill/>
                  </pic:spPr>
                </pic:pic>
              </a:graphicData>
            </a:graphic>
          </wp:anchor>
        </w:drawing>
      </w:r>
    </w:p>
    <w:p w14:paraId="1D7D760F">
      <w:r>
        <w:rPr>
          <w:rFonts w:ascii="仿宋_GB2312" w:hAnsi="仿宋"/>
          <w:sz w:val="29"/>
        </w:rPr>
        <w:t>（四）预测方式简述</w:t>
      </w:r>
    </w:p>
    <w:p w14:paraId="7A713762">
      <w:pPr>
        <w:ind w:firstLine="548"/>
      </w:pPr>
      <w:r>
        <w:rPr>
          <w:rFonts w:ascii="仿宋_GB2312" w:hAnsi="仿宋"/>
          <w:sz w:val="29"/>
        </w:rPr>
        <w:t>考虑到市场需求预测中诸多不确定因素的影响，采用了保守、取中、乐观的三种方式进行天然气市场预测。</w:t>
      </w:r>
    </w:p>
    <w:p w14:paraId="20DAE143">
      <w:pPr>
        <w:ind w:firstLine="548"/>
      </w:pPr>
      <w:r>
        <w:rPr>
          <w:rFonts w:ascii="仿宋_GB2312" w:hAnsi="仿宋"/>
          <w:sz w:val="29"/>
        </w:rPr>
        <w:t>保守方案是在各类用户均稳定发展的前提下，提出的市场预测方案；</w:t>
      </w:r>
    </w:p>
    <w:p w14:paraId="5F7BC9BE">
      <w:pPr>
        <w:ind w:firstLine="548"/>
      </w:pPr>
      <w:r>
        <w:rPr>
          <w:rFonts w:ascii="仿宋_GB2312" w:hAnsi="仿宋"/>
          <w:sz w:val="29"/>
        </w:rPr>
        <w:t>取中方案为居民、商业、空调、汽车等用户稳定发展，工业用户有较快速的增长时，提出的市场预测方案；</w:t>
      </w:r>
    </w:p>
    <w:p w14:paraId="5C37C7B5">
      <w:pPr>
        <w:ind w:firstLine="548"/>
      </w:pPr>
      <w:r>
        <w:rPr>
          <w:rFonts w:ascii="仿宋_GB2312" w:hAnsi="仿宋"/>
          <w:sz w:val="29"/>
        </w:rPr>
        <w:t>乐观方案为居民、商业、空调、汽车等用户稳定发展，工业用户大规模迅速发展时，提出的市场预测方案。</w:t>
      </w:r>
    </w:p>
    <w:p w14:paraId="651544A9">
      <w:pPr>
        <w:ind w:firstLine="548"/>
      </w:pPr>
      <w:r>
        <w:rPr>
          <w:rFonts w:ascii="仿宋_GB2312" w:hAnsi="仿宋"/>
          <w:sz w:val="29"/>
        </w:rPr>
        <w:t>在前述市场需求预测中，汽车用户为常规预测模式预测的天然气气量，为了加快LNG汽车用户的发展，在保留这部分预测汽车气量的前提下。另外对LNG汽车用户进行专项预测，最后汇总形成总的预测量。</w:t>
      </w:r>
    </w:p>
    <w:p w14:paraId="4EF066CD">
      <w:r>
        <w:rPr>
          <w:rFonts w:ascii="仿宋_GB2312" w:hAnsi="仿宋"/>
          <w:sz w:val="29"/>
        </w:rPr>
        <w:t>（五）城镇天然气需求</w:t>
      </w:r>
    </w:p>
    <w:p w14:paraId="75F121C2">
      <w:pPr>
        <w:spacing w:line="600" w:lineRule="exact"/>
        <w:ind w:firstLine="548"/>
      </w:pPr>
      <w:r>
        <w:rPr>
          <w:rFonts w:ascii="仿宋_GB2312" w:hAnsi="仿宋"/>
          <w:sz w:val="29"/>
        </w:rPr>
        <w:t>1、保守方案需求预测</w:t>
      </w:r>
    </w:p>
    <w:p w14:paraId="113F0849">
      <w:pPr>
        <w:spacing w:line="600" w:lineRule="exact"/>
        <w:ind w:firstLine="548"/>
      </w:pPr>
      <w:r>
        <w:rPr>
          <w:rFonts w:ascii="仿宋_GB2312" w:hAnsi="仿宋"/>
          <w:sz w:val="29"/>
        </w:rPr>
        <w:t>保守方案需求预测结果见5-2。</w:t>
      </w:r>
    </w:p>
    <w:p w14:paraId="0F6434D9">
      <w:pPr>
        <w:spacing w:line="600" w:lineRule="exact"/>
        <w:ind w:firstLine="397"/>
        <w:jc w:val="center"/>
      </w:pPr>
      <w:r>
        <w:rPr>
          <w:rFonts w:ascii="仿宋_GB2312" w:hAnsi="仿宋"/>
          <w:szCs w:val="21"/>
        </w:rPr>
        <w:t xml:space="preserve">表5-2 </w:t>
      </w:r>
      <w:r>
        <w:rPr>
          <w:rFonts w:ascii="仿宋_GB2312" w:hAnsi="仿宋"/>
          <w:sz w:val="29"/>
        </w:rPr>
        <w:t xml:space="preserve"> </w:t>
      </w:r>
      <w:r>
        <w:rPr>
          <w:rFonts w:ascii="仿宋_GB2312" w:hAnsi="仿宋"/>
          <w:sz w:val="24"/>
        </w:rPr>
        <w:t>天然气市场需求预测表（保守方案）</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887"/>
        <w:gridCol w:w="1837"/>
        <w:gridCol w:w="1676"/>
        <w:gridCol w:w="1696"/>
      </w:tblGrid>
      <w:tr w14:paraId="7A5DB3D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Merge w:val="restart"/>
            <w:vAlign w:val="center"/>
          </w:tcPr>
          <w:p w14:paraId="688AEA48">
            <w:pPr>
              <w:spacing w:line="600" w:lineRule="exact"/>
              <w:jc w:val="center"/>
            </w:pPr>
            <w:r>
              <w:rPr>
                <w:rFonts w:ascii="仿宋_GB2312" w:hAnsi="仿宋"/>
                <w:sz w:val="24"/>
              </w:rPr>
              <w:t>序号</w:t>
            </w:r>
          </w:p>
        </w:tc>
        <w:tc>
          <w:tcPr>
            <w:tcW w:w="1837" w:type="dxa"/>
            <w:vMerge w:val="restart"/>
            <w:vAlign w:val="center"/>
          </w:tcPr>
          <w:p w14:paraId="42F29A68">
            <w:pPr>
              <w:spacing w:line="600" w:lineRule="exact"/>
              <w:jc w:val="center"/>
            </w:pPr>
            <w:r>
              <w:rPr>
                <w:rFonts w:ascii="仿宋_GB2312" w:hAnsi="仿宋"/>
                <w:sz w:val="24"/>
              </w:rPr>
              <w:t>地区名称</w:t>
            </w:r>
          </w:p>
        </w:tc>
        <w:tc>
          <w:tcPr>
            <w:tcW w:w="3372" w:type="dxa"/>
            <w:gridSpan w:val="2"/>
            <w:vAlign w:val="top"/>
          </w:tcPr>
          <w:p w14:paraId="5D7D0706">
            <w:pPr>
              <w:spacing w:line="600" w:lineRule="exact"/>
              <w:jc w:val="center"/>
            </w:pPr>
            <w:r>
              <w:rPr>
                <w:rFonts w:ascii="仿宋_GB2312" w:hAnsi="仿宋"/>
                <w:sz w:val="24"/>
              </w:rPr>
              <w:t>2015年</w:t>
            </w:r>
          </w:p>
        </w:tc>
      </w:tr>
      <w:tr w14:paraId="2DAC4E1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vMerge w:val="continue"/>
          </w:tcPr>
          <w:p w14:paraId="38C0F25D"/>
        </w:tc>
        <w:tc>
          <w:tcPr>
            <w:vMerge w:val="continue"/>
          </w:tcPr>
          <w:p w14:paraId="086F16DB"/>
        </w:tc>
        <w:tc>
          <w:tcPr>
            <w:tcW w:w="1676" w:type="dxa"/>
            <w:vAlign w:val="top"/>
          </w:tcPr>
          <w:p w14:paraId="03C35666">
            <w:pPr>
              <w:spacing w:line="600" w:lineRule="exact"/>
              <w:jc w:val="center"/>
            </w:pPr>
            <w:r>
              <w:rPr>
                <w:rFonts w:ascii="仿宋_GB2312" w:hAnsi="仿宋"/>
                <w:sz w:val="24"/>
              </w:rPr>
              <w:t>万立方米/年</w:t>
            </w:r>
          </w:p>
        </w:tc>
        <w:tc>
          <w:tcPr>
            <w:tcW w:w="1696" w:type="dxa"/>
            <w:vAlign w:val="top"/>
          </w:tcPr>
          <w:p w14:paraId="736E140F">
            <w:pPr>
              <w:spacing w:line="600" w:lineRule="exact"/>
              <w:jc w:val="center"/>
            </w:pPr>
            <w:r>
              <w:rPr>
                <w:rFonts w:ascii="仿宋_GB2312" w:hAnsi="仿宋"/>
                <w:sz w:val="24"/>
              </w:rPr>
              <w:t>万吨/年</w:t>
            </w:r>
          </w:p>
        </w:tc>
      </w:tr>
      <w:tr w14:paraId="7B27C4C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68A93780">
            <w:pPr>
              <w:spacing w:line="600" w:lineRule="exact"/>
              <w:jc w:val="center"/>
            </w:pPr>
            <w:r>
              <w:rPr>
                <w:rFonts w:ascii="仿宋_GB2312" w:hAnsi="仿宋"/>
                <w:sz w:val="24"/>
              </w:rPr>
              <w:t>1</w:t>
            </w:r>
          </w:p>
        </w:tc>
        <w:tc>
          <w:tcPr>
            <w:tcW w:w="1837" w:type="dxa"/>
            <w:vAlign w:val="top"/>
          </w:tcPr>
          <w:p w14:paraId="4201E8A3">
            <w:pPr>
              <w:spacing w:line="600" w:lineRule="exact"/>
            </w:pPr>
            <w:r>
              <w:rPr>
                <w:rFonts w:ascii="仿宋_GB2312" w:hAnsi="仿宋"/>
                <w:sz w:val="24"/>
              </w:rPr>
              <w:t>福州地区</w:t>
            </w:r>
          </w:p>
        </w:tc>
        <w:tc>
          <w:tcPr>
            <w:tcW w:w="1676" w:type="dxa"/>
            <w:vAlign w:val="top"/>
          </w:tcPr>
          <w:p w14:paraId="6E046160">
            <w:pPr>
              <w:spacing w:line="600" w:lineRule="exact"/>
              <w:jc w:val="center"/>
            </w:pPr>
            <w:r>
              <w:rPr>
                <w:rFonts w:ascii="仿宋_GB2312" w:hAnsi="仿宋"/>
                <w:sz w:val="24"/>
              </w:rPr>
              <w:t>22388.7</w:t>
            </w:r>
          </w:p>
        </w:tc>
        <w:tc>
          <w:tcPr>
            <w:tcW w:w="1696" w:type="dxa"/>
            <w:vAlign w:val="top"/>
          </w:tcPr>
          <w:p w14:paraId="4927C95F">
            <w:pPr>
              <w:spacing w:line="600" w:lineRule="exact"/>
              <w:jc w:val="center"/>
            </w:pPr>
            <w:r>
              <w:rPr>
                <w:rFonts w:ascii="仿宋_GB2312" w:hAnsi="仿宋"/>
                <w:sz w:val="24"/>
              </w:rPr>
              <w:t>15.49</w:t>
            </w:r>
          </w:p>
        </w:tc>
      </w:tr>
      <w:tr w14:paraId="3E16F2A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23BEA2DA">
            <w:pPr>
              <w:spacing w:line="600" w:lineRule="exact"/>
              <w:jc w:val="center"/>
            </w:pPr>
            <w:r>
              <w:rPr>
                <w:rFonts w:ascii="仿宋_GB2312" w:hAnsi="仿宋"/>
                <w:sz w:val="24"/>
              </w:rPr>
              <w:t>2</w:t>
            </w:r>
          </w:p>
        </w:tc>
        <w:tc>
          <w:tcPr>
            <w:tcW w:w="1837" w:type="dxa"/>
            <w:vAlign w:val="top"/>
          </w:tcPr>
          <w:p w14:paraId="6707404C">
            <w:pPr>
              <w:spacing w:line="600" w:lineRule="exact"/>
            </w:pPr>
            <w:r>
              <w:rPr>
                <w:rFonts w:ascii="仿宋_GB2312" w:hAnsi="仿宋"/>
                <w:sz w:val="24"/>
              </w:rPr>
              <w:t>泉州地区</w:t>
            </w:r>
          </w:p>
        </w:tc>
        <w:tc>
          <w:tcPr>
            <w:tcW w:w="1676" w:type="dxa"/>
            <w:vAlign w:val="top"/>
          </w:tcPr>
          <w:p w14:paraId="013CE410">
            <w:pPr>
              <w:spacing w:line="600" w:lineRule="exact"/>
              <w:jc w:val="center"/>
            </w:pPr>
            <w:r>
              <w:rPr>
                <w:rFonts w:ascii="仿宋_GB2312" w:hAnsi="仿宋"/>
                <w:sz w:val="24"/>
              </w:rPr>
              <w:t>19595.7</w:t>
            </w:r>
          </w:p>
        </w:tc>
        <w:tc>
          <w:tcPr>
            <w:tcW w:w="1696" w:type="dxa"/>
            <w:vAlign w:val="top"/>
          </w:tcPr>
          <w:p w14:paraId="52C38834">
            <w:pPr>
              <w:spacing w:line="600" w:lineRule="exact"/>
              <w:jc w:val="center"/>
            </w:pPr>
            <w:r>
              <w:rPr>
                <w:rFonts w:ascii="仿宋_GB2312" w:hAnsi="仿宋"/>
                <w:sz w:val="24"/>
              </w:rPr>
              <w:t>13.6</w:t>
            </w:r>
          </w:p>
        </w:tc>
      </w:tr>
      <w:tr w14:paraId="6EC17B0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13027328">
            <w:pPr>
              <w:spacing w:line="600" w:lineRule="exact"/>
              <w:jc w:val="center"/>
            </w:pPr>
            <w:r>
              <w:rPr>
                <w:rFonts w:ascii="仿宋_GB2312" w:hAnsi="仿宋"/>
                <w:sz w:val="24"/>
              </w:rPr>
              <w:t>3</w:t>
            </w:r>
          </w:p>
        </w:tc>
        <w:tc>
          <w:tcPr>
            <w:tcW w:w="1837" w:type="dxa"/>
            <w:vAlign w:val="top"/>
          </w:tcPr>
          <w:p w14:paraId="68086C33">
            <w:pPr>
              <w:spacing w:line="600" w:lineRule="exact"/>
            </w:pPr>
            <w:r>
              <w:rPr>
                <w:rFonts w:ascii="仿宋_GB2312" w:hAnsi="仿宋"/>
                <w:sz w:val="24"/>
              </w:rPr>
              <w:t>厦门市</w:t>
            </w:r>
          </w:p>
        </w:tc>
        <w:tc>
          <w:tcPr>
            <w:tcW w:w="1676" w:type="dxa"/>
            <w:vAlign w:val="top"/>
          </w:tcPr>
          <w:p w14:paraId="644A425F">
            <w:pPr>
              <w:spacing w:line="600" w:lineRule="exact"/>
              <w:jc w:val="center"/>
            </w:pPr>
            <w:r>
              <w:rPr>
                <w:rFonts w:ascii="仿宋_GB2312" w:hAnsi="仿宋"/>
                <w:sz w:val="24"/>
              </w:rPr>
              <w:t>12830.4</w:t>
            </w:r>
          </w:p>
        </w:tc>
        <w:tc>
          <w:tcPr>
            <w:tcW w:w="1696" w:type="dxa"/>
            <w:vAlign w:val="top"/>
          </w:tcPr>
          <w:p w14:paraId="60F8CC90">
            <w:pPr>
              <w:spacing w:line="600" w:lineRule="exact"/>
              <w:jc w:val="center"/>
            </w:pPr>
            <w:r>
              <w:rPr>
                <w:rFonts w:ascii="仿宋_GB2312" w:hAnsi="仿宋"/>
                <w:sz w:val="24"/>
              </w:rPr>
              <w:t>8.9</w:t>
            </w:r>
          </w:p>
        </w:tc>
      </w:tr>
      <w:tr w14:paraId="1E6A970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6A6A182F">
            <w:pPr>
              <w:spacing w:line="600" w:lineRule="exact"/>
              <w:jc w:val="center"/>
            </w:pPr>
            <w:r>
              <w:rPr>
                <w:rFonts w:ascii="仿宋_GB2312" w:hAnsi="仿宋"/>
                <w:sz w:val="24"/>
              </w:rPr>
              <w:t>4</w:t>
            </w:r>
          </w:p>
        </w:tc>
        <w:tc>
          <w:tcPr>
            <w:tcW w:w="1837" w:type="dxa"/>
            <w:vAlign w:val="top"/>
          </w:tcPr>
          <w:p w14:paraId="19817AD8">
            <w:pPr>
              <w:spacing w:line="600" w:lineRule="exact"/>
            </w:pPr>
            <w:r>
              <w:rPr>
                <w:rFonts w:ascii="仿宋_GB2312" w:hAnsi="仿宋"/>
                <w:sz w:val="24"/>
              </w:rPr>
              <w:t>漳州地区</w:t>
            </w:r>
          </w:p>
        </w:tc>
        <w:tc>
          <w:tcPr>
            <w:tcW w:w="1676" w:type="dxa"/>
            <w:vAlign w:val="top"/>
          </w:tcPr>
          <w:p w14:paraId="51E09A3D">
            <w:pPr>
              <w:spacing w:line="600" w:lineRule="exact"/>
              <w:jc w:val="center"/>
            </w:pPr>
            <w:r>
              <w:rPr>
                <w:rFonts w:ascii="仿宋_GB2312" w:hAnsi="仿宋"/>
                <w:sz w:val="24"/>
              </w:rPr>
              <w:t>6070.8</w:t>
            </w:r>
          </w:p>
        </w:tc>
        <w:tc>
          <w:tcPr>
            <w:tcW w:w="1696" w:type="dxa"/>
            <w:vAlign w:val="top"/>
          </w:tcPr>
          <w:p w14:paraId="667C2905">
            <w:pPr>
              <w:spacing w:line="600" w:lineRule="exact"/>
              <w:jc w:val="center"/>
            </w:pPr>
            <w:r>
              <w:rPr>
                <w:rFonts w:ascii="仿宋_GB2312" w:hAnsi="仿宋"/>
                <w:sz w:val="24"/>
              </w:rPr>
              <w:t>4.2</w:t>
            </w:r>
          </w:p>
        </w:tc>
      </w:tr>
      <w:tr w14:paraId="0630807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197CB964">
            <w:pPr>
              <w:spacing w:line="600" w:lineRule="exact"/>
              <w:jc w:val="center"/>
            </w:pPr>
            <w:r>
              <w:rPr>
                <w:rFonts w:ascii="仿宋_GB2312" w:hAnsi="仿宋"/>
                <w:sz w:val="24"/>
              </w:rPr>
              <w:t>5</w:t>
            </w:r>
          </w:p>
        </w:tc>
        <w:tc>
          <w:tcPr>
            <w:tcW w:w="1837" w:type="dxa"/>
            <w:vAlign w:val="top"/>
          </w:tcPr>
          <w:p w14:paraId="138F3B11">
            <w:pPr>
              <w:spacing w:line="600" w:lineRule="exact"/>
            </w:pPr>
            <w:r>
              <w:rPr>
                <w:rFonts w:ascii="仿宋_GB2312" w:hAnsi="仿宋"/>
                <w:sz w:val="24"/>
              </w:rPr>
              <w:t>莆田地区</w:t>
            </w:r>
          </w:p>
        </w:tc>
        <w:tc>
          <w:tcPr>
            <w:tcW w:w="1676" w:type="dxa"/>
            <w:vAlign w:val="top"/>
          </w:tcPr>
          <w:p w14:paraId="2589B65C">
            <w:pPr>
              <w:spacing w:line="600" w:lineRule="exact"/>
              <w:jc w:val="center"/>
            </w:pPr>
            <w:r>
              <w:rPr>
                <w:rFonts w:ascii="仿宋_GB2312" w:hAnsi="仿宋"/>
                <w:sz w:val="24"/>
              </w:rPr>
              <w:t>4117.1</w:t>
            </w:r>
          </w:p>
        </w:tc>
        <w:tc>
          <w:tcPr>
            <w:tcW w:w="1696" w:type="dxa"/>
            <w:vAlign w:val="top"/>
          </w:tcPr>
          <w:p w14:paraId="37EF933B">
            <w:pPr>
              <w:spacing w:line="600" w:lineRule="exact"/>
              <w:jc w:val="center"/>
            </w:pPr>
            <w:r>
              <w:rPr>
                <w:rFonts w:ascii="仿宋_GB2312" w:hAnsi="仿宋"/>
                <w:sz w:val="24"/>
              </w:rPr>
              <w:t>2.9</w:t>
            </w:r>
          </w:p>
        </w:tc>
      </w:tr>
      <w:tr w14:paraId="0BE50D2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793A698E">
            <w:pPr>
              <w:spacing w:line="600" w:lineRule="exact"/>
              <w:jc w:val="center"/>
            </w:pPr>
            <w:r>
              <w:rPr>
                <w:rFonts w:ascii="仿宋_GB2312" w:hAnsi="仿宋"/>
                <w:sz w:val="24"/>
              </w:rPr>
              <w:t>6</w:t>
            </w:r>
          </w:p>
        </w:tc>
        <w:tc>
          <w:tcPr>
            <w:tcW w:w="1837" w:type="dxa"/>
            <w:vAlign w:val="top"/>
          </w:tcPr>
          <w:p w14:paraId="749FDD70">
            <w:pPr>
              <w:spacing w:line="600" w:lineRule="exact"/>
            </w:pPr>
            <w:r>
              <w:rPr>
                <w:rFonts w:ascii="仿宋_GB2312" w:hAnsi="仿宋"/>
                <w:sz w:val="24"/>
              </w:rPr>
              <w:t>三明地区</w:t>
            </w:r>
          </w:p>
        </w:tc>
        <w:tc>
          <w:tcPr>
            <w:tcW w:w="1676" w:type="dxa"/>
            <w:vAlign w:val="top"/>
          </w:tcPr>
          <w:p w14:paraId="453E28A3">
            <w:pPr>
              <w:spacing w:line="600" w:lineRule="exact"/>
              <w:jc w:val="center"/>
            </w:pPr>
            <w:r>
              <w:rPr>
                <w:rFonts w:ascii="仿宋_GB2312" w:hAnsi="仿宋"/>
                <w:sz w:val="24"/>
              </w:rPr>
              <w:t>4643.3</w:t>
            </w:r>
          </w:p>
        </w:tc>
        <w:tc>
          <w:tcPr>
            <w:tcW w:w="1696" w:type="dxa"/>
            <w:vAlign w:val="top"/>
          </w:tcPr>
          <w:p w14:paraId="313F88C9">
            <w:pPr>
              <w:spacing w:line="600" w:lineRule="exact"/>
              <w:jc w:val="center"/>
            </w:pPr>
            <w:r>
              <w:rPr>
                <w:rFonts w:ascii="仿宋_GB2312" w:hAnsi="仿宋"/>
                <w:sz w:val="24"/>
              </w:rPr>
              <w:t>3.2</w:t>
            </w:r>
          </w:p>
        </w:tc>
      </w:tr>
      <w:tr w14:paraId="38EE36C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135D870F">
            <w:pPr>
              <w:spacing w:line="600" w:lineRule="exact"/>
              <w:jc w:val="center"/>
            </w:pPr>
            <w:r>
              <w:rPr>
                <w:rFonts w:ascii="仿宋_GB2312" w:hAnsi="仿宋"/>
                <w:sz w:val="24"/>
              </w:rPr>
              <w:t>7</w:t>
            </w:r>
          </w:p>
        </w:tc>
        <w:tc>
          <w:tcPr>
            <w:tcW w:w="1837" w:type="dxa"/>
            <w:vAlign w:val="top"/>
          </w:tcPr>
          <w:p w14:paraId="7B6A8FD5">
            <w:pPr>
              <w:spacing w:line="600" w:lineRule="exact"/>
            </w:pPr>
            <w:r>
              <w:rPr>
                <w:rFonts w:ascii="仿宋_GB2312" w:hAnsi="仿宋"/>
                <w:sz w:val="24"/>
              </w:rPr>
              <w:t>宁德地区</w:t>
            </w:r>
          </w:p>
        </w:tc>
        <w:tc>
          <w:tcPr>
            <w:tcW w:w="1676" w:type="dxa"/>
            <w:vAlign w:val="top"/>
          </w:tcPr>
          <w:p w14:paraId="19DE8064">
            <w:pPr>
              <w:spacing w:line="600" w:lineRule="exact"/>
              <w:jc w:val="center"/>
            </w:pPr>
            <w:r>
              <w:rPr>
                <w:rFonts w:ascii="仿宋_GB2312" w:hAnsi="仿宋"/>
                <w:sz w:val="24"/>
              </w:rPr>
              <w:t>4144.9</w:t>
            </w:r>
          </w:p>
        </w:tc>
        <w:tc>
          <w:tcPr>
            <w:tcW w:w="1696" w:type="dxa"/>
            <w:vAlign w:val="top"/>
          </w:tcPr>
          <w:p w14:paraId="51047040">
            <w:pPr>
              <w:spacing w:line="600" w:lineRule="exact"/>
              <w:jc w:val="center"/>
            </w:pPr>
            <w:r>
              <w:rPr>
                <w:rFonts w:ascii="仿宋_GB2312" w:hAnsi="仿宋"/>
                <w:sz w:val="24"/>
              </w:rPr>
              <w:t>2.9</w:t>
            </w:r>
          </w:p>
        </w:tc>
      </w:tr>
      <w:tr w14:paraId="2F6A6C3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5CEE679B">
            <w:pPr>
              <w:spacing w:line="600" w:lineRule="exact"/>
              <w:jc w:val="center"/>
            </w:pPr>
            <w:r>
              <w:rPr>
                <w:rFonts w:ascii="仿宋_GB2312" w:hAnsi="仿宋"/>
                <w:sz w:val="24"/>
              </w:rPr>
              <w:t>8</w:t>
            </w:r>
          </w:p>
        </w:tc>
        <w:tc>
          <w:tcPr>
            <w:tcW w:w="1837" w:type="dxa"/>
            <w:vAlign w:val="top"/>
          </w:tcPr>
          <w:p w14:paraId="225C43FA">
            <w:pPr>
              <w:spacing w:line="600" w:lineRule="exact"/>
            </w:pPr>
            <w:r>
              <w:rPr>
                <w:rFonts w:ascii="仿宋_GB2312" w:hAnsi="仿宋"/>
                <w:sz w:val="24"/>
              </w:rPr>
              <w:t>南平地区</w:t>
            </w:r>
          </w:p>
        </w:tc>
        <w:tc>
          <w:tcPr>
            <w:tcW w:w="1676" w:type="dxa"/>
            <w:vAlign w:val="top"/>
          </w:tcPr>
          <w:p w14:paraId="4A755F10">
            <w:pPr>
              <w:spacing w:line="600" w:lineRule="exact"/>
              <w:jc w:val="center"/>
            </w:pPr>
            <w:r>
              <w:rPr>
                <w:rFonts w:ascii="仿宋_GB2312" w:hAnsi="仿宋"/>
                <w:sz w:val="24"/>
              </w:rPr>
              <w:t>3087.8</w:t>
            </w:r>
          </w:p>
        </w:tc>
        <w:tc>
          <w:tcPr>
            <w:tcW w:w="1696" w:type="dxa"/>
            <w:vAlign w:val="top"/>
          </w:tcPr>
          <w:p w14:paraId="71DB2CC3">
            <w:pPr>
              <w:spacing w:line="600" w:lineRule="exact"/>
              <w:jc w:val="center"/>
            </w:pPr>
            <w:r>
              <w:rPr>
                <w:rFonts w:ascii="仿宋_GB2312" w:hAnsi="仿宋"/>
                <w:sz w:val="24"/>
              </w:rPr>
              <w:t>2.1</w:t>
            </w:r>
          </w:p>
        </w:tc>
      </w:tr>
      <w:tr w14:paraId="3AC8B74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025AFF08">
            <w:pPr>
              <w:spacing w:line="600" w:lineRule="exact"/>
              <w:jc w:val="center"/>
            </w:pPr>
            <w:r>
              <w:rPr>
                <w:rFonts w:ascii="仿宋_GB2312" w:hAnsi="仿宋"/>
                <w:sz w:val="24"/>
              </w:rPr>
              <w:t>9</w:t>
            </w:r>
          </w:p>
        </w:tc>
        <w:tc>
          <w:tcPr>
            <w:tcW w:w="1837" w:type="dxa"/>
            <w:vAlign w:val="top"/>
          </w:tcPr>
          <w:p w14:paraId="4B95F82F">
            <w:pPr>
              <w:spacing w:line="600" w:lineRule="exact"/>
            </w:pPr>
            <w:r>
              <w:rPr>
                <w:rFonts w:ascii="仿宋_GB2312" w:hAnsi="仿宋"/>
                <w:sz w:val="24"/>
              </w:rPr>
              <w:t>龙岩地区</w:t>
            </w:r>
          </w:p>
        </w:tc>
        <w:tc>
          <w:tcPr>
            <w:tcW w:w="1676" w:type="dxa"/>
            <w:vAlign w:val="top"/>
          </w:tcPr>
          <w:p w14:paraId="2EC8599C">
            <w:pPr>
              <w:spacing w:line="600" w:lineRule="exact"/>
              <w:jc w:val="center"/>
            </w:pPr>
            <w:r>
              <w:rPr>
                <w:rFonts w:ascii="仿宋_GB2312" w:hAnsi="仿宋"/>
                <w:sz w:val="24"/>
              </w:rPr>
              <w:t>4436.3</w:t>
            </w:r>
          </w:p>
        </w:tc>
        <w:tc>
          <w:tcPr>
            <w:tcW w:w="1696" w:type="dxa"/>
            <w:vAlign w:val="top"/>
          </w:tcPr>
          <w:p w14:paraId="7E7B9D20">
            <w:pPr>
              <w:spacing w:line="600" w:lineRule="exact"/>
              <w:jc w:val="center"/>
            </w:pPr>
            <w:r>
              <w:rPr>
                <w:rFonts w:ascii="仿宋_GB2312" w:hAnsi="仿宋"/>
                <w:sz w:val="24"/>
              </w:rPr>
              <w:t>3.1</w:t>
            </w:r>
          </w:p>
        </w:tc>
      </w:tr>
      <w:tr w14:paraId="56E97C1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0B817A7D">
            <w:pPr>
              <w:spacing w:line="600" w:lineRule="exact"/>
              <w:jc w:val="center"/>
            </w:pPr>
            <w:r>
              <w:rPr>
                <w:rFonts w:ascii="仿宋_GB2312" w:hAnsi="仿宋"/>
                <w:sz w:val="24"/>
              </w:rPr>
              <w:t>10</w:t>
            </w:r>
          </w:p>
        </w:tc>
        <w:tc>
          <w:tcPr>
            <w:tcW w:w="1837" w:type="dxa"/>
            <w:vAlign w:val="top"/>
          </w:tcPr>
          <w:p w14:paraId="59DC94D3">
            <w:pPr>
              <w:spacing w:line="600" w:lineRule="exact"/>
            </w:pPr>
            <w:r>
              <w:rPr>
                <w:rFonts w:ascii="仿宋_GB2312" w:hAnsi="仿宋"/>
                <w:sz w:val="24"/>
              </w:rPr>
              <w:t>平潭综合实验区</w:t>
            </w:r>
          </w:p>
        </w:tc>
        <w:tc>
          <w:tcPr>
            <w:tcW w:w="1676" w:type="dxa"/>
            <w:vAlign w:val="top"/>
          </w:tcPr>
          <w:p w14:paraId="6A8D4441">
            <w:pPr>
              <w:spacing w:line="600" w:lineRule="exact"/>
              <w:jc w:val="center"/>
            </w:pPr>
            <w:r>
              <w:rPr>
                <w:rFonts w:ascii="仿宋_GB2312" w:hAnsi="仿宋"/>
                <w:sz w:val="24"/>
              </w:rPr>
              <w:t>2560</w:t>
            </w:r>
          </w:p>
        </w:tc>
        <w:tc>
          <w:tcPr>
            <w:tcW w:w="1696" w:type="dxa"/>
            <w:vAlign w:val="top"/>
          </w:tcPr>
          <w:p w14:paraId="0C4856CA">
            <w:pPr>
              <w:spacing w:line="600" w:lineRule="exact"/>
              <w:jc w:val="center"/>
            </w:pPr>
            <w:r>
              <w:rPr>
                <w:rFonts w:ascii="仿宋_GB2312" w:hAnsi="仿宋"/>
                <w:sz w:val="24"/>
              </w:rPr>
              <w:t>1.81</w:t>
            </w:r>
          </w:p>
        </w:tc>
      </w:tr>
      <w:tr w14:paraId="3C26139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7899B32E">
            <w:pPr>
              <w:spacing w:line="600" w:lineRule="exact"/>
              <w:jc w:val="center"/>
            </w:pPr>
            <w:r>
              <w:rPr>
                <w:rFonts w:ascii="仿宋_GB2312" w:hAnsi="仿宋"/>
                <w:sz w:val="24"/>
              </w:rPr>
              <w:t>11</w:t>
            </w:r>
          </w:p>
        </w:tc>
        <w:tc>
          <w:tcPr>
            <w:tcW w:w="1837" w:type="dxa"/>
            <w:vAlign w:val="top"/>
          </w:tcPr>
          <w:p w14:paraId="2802F5EB">
            <w:pPr>
              <w:spacing w:line="600" w:lineRule="exact"/>
            </w:pPr>
            <w:r>
              <w:rPr>
                <w:rFonts w:ascii="仿宋_GB2312" w:hAnsi="仿宋"/>
                <w:sz w:val="24"/>
              </w:rPr>
              <w:t>汽车</w:t>
            </w:r>
          </w:p>
        </w:tc>
        <w:tc>
          <w:tcPr>
            <w:tcW w:w="1676" w:type="dxa"/>
            <w:vAlign w:val="top"/>
          </w:tcPr>
          <w:p w14:paraId="4E2DDA7E">
            <w:pPr>
              <w:spacing w:line="600" w:lineRule="exact"/>
              <w:jc w:val="center"/>
            </w:pPr>
            <w:r>
              <w:rPr>
                <w:rFonts w:ascii="仿宋_GB2312" w:hAnsi="仿宋"/>
                <w:sz w:val="24"/>
              </w:rPr>
              <w:t>17307.9</w:t>
            </w:r>
          </w:p>
        </w:tc>
        <w:tc>
          <w:tcPr>
            <w:tcW w:w="1696" w:type="dxa"/>
            <w:vAlign w:val="top"/>
          </w:tcPr>
          <w:p w14:paraId="28B704CC">
            <w:pPr>
              <w:spacing w:line="600" w:lineRule="exact"/>
              <w:jc w:val="center"/>
            </w:pPr>
            <w:r>
              <w:rPr>
                <w:rFonts w:ascii="仿宋_GB2312" w:hAnsi="仿宋"/>
                <w:sz w:val="24"/>
              </w:rPr>
              <w:t>12.0</w:t>
            </w:r>
          </w:p>
        </w:tc>
      </w:tr>
      <w:tr w14:paraId="6EA4FC3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5F9D5E70">
            <w:pPr>
              <w:spacing w:line="600" w:lineRule="exact"/>
              <w:jc w:val="center"/>
            </w:pPr>
            <w:r>
              <w:rPr>
                <w:rFonts w:ascii="仿宋_GB2312" w:hAnsi="仿宋"/>
                <w:sz w:val="24"/>
              </w:rPr>
              <w:t>12</w:t>
            </w:r>
          </w:p>
        </w:tc>
        <w:tc>
          <w:tcPr>
            <w:tcW w:w="1837" w:type="dxa"/>
            <w:vAlign w:val="top"/>
          </w:tcPr>
          <w:p w14:paraId="12C85EC7">
            <w:pPr>
              <w:spacing w:line="600" w:lineRule="exact"/>
            </w:pPr>
            <w:r>
              <w:rPr>
                <w:rFonts w:ascii="仿宋_GB2312" w:hAnsi="仿宋"/>
                <w:sz w:val="24"/>
              </w:rPr>
              <w:t>工业</w:t>
            </w:r>
          </w:p>
        </w:tc>
        <w:tc>
          <w:tcPr>
            <w:tcW w:w="1676" w:type="dxa"/>
            <w:vAlign w:val="top"/>
          </w:tcPr>
          <w:p w14:paraId="3BDE1582">
            <w:pPr>
              <w:spacing w:line="600" w:lineRule="exact"/>
              <w:jc w:val="center"/>
            </w:pPr>
            <w:r>
              <w:rPr>
                <w:rFonts w:ascii="仿宋_GB2312" w:hAnsi="仿宋"/>
                <w:sz w:val="24"/>
              </w:rPr>
              <w:t>178823.5</w:t>
            </w:r>
          </w:p>
        </w:tc>
        <w:tc>
          <w:tcPr>
            <w:tcW w:w="1696" w:type="dxa"/>
            <w:vAlign w:val="top"/>
          </w:tcPr>
          <w:p w14:paraId="4CA352CF">
            <w:pPr>
              <w:spacing w:line="600" w:lineRule="exact"/>
              <w:jc w:val="center"/>
            </w:pPr>
            <w:r>
              <w:rPr>
                <w:rFonts w:ascii="仿宋_GB2312" w:hAnsi="仿宋"/>
                <w:sz w:val="24"/>
              </w:rPr>
              <w:t>124.3</w:t>
            </w:r>
          </w:p>
        </w:tc>
      </w:tr>
      <w:tr w14:paraId="3B22804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7" w:type="dxa"/>
            <w:vAlign w:val="top"/>
          </w:tcPr>
          <w:p w14:paraId="73142BB8">
            <w:pPr>
              <w:spacing w:line="600" w:lineRule="exact"/>
              <w:jc w:val="center"/>
            </w:pPr>
            <w:r>
              <w:rPr>
                <w:rFonts w:ascii="仿宋_GB2312" w:hAnsi="仿宋"/>
                <w:sz w:val="24"/>
              </w:rPr>
              <w:t>13</w:t>
            </w:r>
          </w:p>
        </w:tc>
        <w:tc>
          <w:tcPr>
            <w:tcW w:w="1837" w:type="dxa"/>
            <w:vAlign w:val="top"/>
          </w:tcPr>
          <w:p w14:paraId="6D12F2B5">
            <w:pPr>
              <w:spacing w:line="600" w:lineRule="exact"/>
            </w:pPr>
            <w:r>
              <w:rPr>
                <w:rFonts w:ascii="仿宋_GB2312" w:hAnsi="仿宋"/>
                <w:sz w:val="24"/>
              </w:rPr>
              <w:t>合计</w:t>
            </w:r>
          </w:p>
        </w:tc>
        <w:tc>
          <w:tcPr>
            <w:tcW w:w="1676" w:type="dxa"/>
            <w:vAlign w:val="top"/>
          </w:tcPr>
          <w:p w14:paraId="19DC08F9">
            <w:pPr>
              <w:spacing w:line="600" w:lineRule="exact"/>
              <w:jc w:val="center"/>
            </w:pPr>
            <w:r>
              <w:rPr>
                <w:rFonts w:ascii="仿宋_GB2312" w:hAnsi="仿宋"/>
                <w:sz w:val="24"/>
              </w:rPr>
              <w:t>280006.4</w:t>
            </w:r>
          </w:p>
        </w:tc>
        <w:tc>
          <w:tcPr>
            <w:tcW w:w="1696" w:type="dxa"/>
            <w:vAlign w:val="top"/>
          </w:tcPr>
          <w:p w14:paraId="0FDEEE3E">
            <w:pPr>
              <w:spacing w:line="600" w:lineRule="exact"/>
              <w:jc w:val="center"/>
            </w:pPr>
            <w:r>
              <w:rPr>
                <w:rFonts w:ascii="仿宋_GB2312" w:hAnsi="仿宋"/>
                <w:sz w:val="24"/>
              </w:rPr>
              <w:t>194.5</w:t>
            </w:r>
          </w:p>
        </w:tc>
      </w:tr>
    </w:tbl>
    <w:p w14:paraId="35230C08">
      <w:pPr>
        <w:spacing w:line="600" w:lineRule="exact"/>
        <w:ind w:firstLine="397"/>
      </w:pP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注：不包括电厂的用气量。</w:t>
      </w:r>
    </w:p>
    <w:p w14:paraId="679721BE">
      <w:pPr>
        <w:spacing w:line="600" w:lineRule="exact"/>
        <w:ind w:firstLine="548"/>
      </w:pPr>
      <w:r>
        <w:rPr>
          <w:rFonts w:ascii="仿宋_GB2312" w:hAnsi="仿宋"/>
          <w:sz w:val="29"/>
        </w:rPr>
        <w:t>2、取中方案需求预测</w:t>
      </w:r>
    </w:p>
    <w:p w14:paraId="7D7A57D9">
      <w:pPr>
        <w:spacing w:line="600" w:lineRule="exact"/>
        <w:ind w:firstLine="548"/>
      </w:pPr>
      <w:r>
        <w:rPr>
          <w:rFonts w:ascii="仿宋_GB2312" w:hAnsi="仿宋"/>
          <w:sz w:val="29"/>
        </w:rPr>
        <w:t>取中方案需求预测结果见5-3。</w:t>
      </w:r>
    </w:p>
    <w:p w14:paraId="7FA4F88C">
      <w:pPr>
        <w:spacing w:line="600" w:lineRule="exact"/>
        <w:ind w:firstLine="397"/>
        <w:jc w:val="center"/>
      </w:pPr>
      <w:r>
        <w:rPr>
          <w:rFonts w:ascii="仿宋_GB2312" w:hAnsi="仿宋"/>
          <w:szCs w:val="21"/>
        </w:rPr>
        <w:t xml:space="preserve">表5-3 </w:t>
      </w:r>
      <w:r>
        <w:rPr>
          <w:rFonts w:ascii="仿宋_GB2312" w:hAnsi="仿宋"/>
          <w:sz w:val="29"/>
        </w:rPr>
        <w:t xml:space="preserve"> </w:t>
      </w:r>
      <w:r>
        <w:rPr>
          <w:rFonts w:ascii="仿宋_GB2312" w:hAnsi="仿宋"/>
          <w:sz w:val="24"/>
        </w:rPr>
        <w:t>天然气市场需求预测表（取中方案）</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851"/>
        <w:gridCol w:w="1889"/>
        <w:gridCol w:w="1680"/>
        <w:gridCol w:w="1559"/>
      </w:tblGrid>
      <w:tr w14:paraId="5D7315A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Merge w:val="restart"/>
            <w:vAlign w:val="center"/>
          </w:tcPr>
          <w:p w14:paraId="1606829D">
            <w:pPr>
              <w:spacing w:line="600" w:lineRule="exact"/>
              <w:jc w:val="center"/>
            </w:pPr>
            <w:r>
              <w:rPr>
                <w:rFonts w:ascii="仿宋_GB2312" w:hAnsi="仿宋"/>
                <w:sz w:val="24"/>
              </w:rPr>
              <w:t>序号</w:t>
            </w:r>
          </w:p>
        </w:tc>
        <w:tc>
          <w:tcPr>
            <w:tcW w:w="1889" w:type="dxa"/>
            <w:vMerge w:val="restart"/>
            <w:vAlign w:val="center"/>
          </w:tcPr>
          <w:p w14:paraId="21C4CFA4">
            <w:pPr>
              <w:spacing w:line="600" w:lineRule="exact"/>
              <w:jc w:val="center"/>
            </w:pPr>
            <w:r>
              <w:rPr>
                <w:rFonts w:ascii="仿宋_GB2312" w:hAnsi="仿宋"/>
                <w:sz w:val="24"/>
              </w:rPr>
              <w:t>地区名称</w:t>
            </w:r>
          </w:p>
        </w:tc>
        <w:tc>
          <w:tcPr>
            <w:tcW w:w="3239" w:type="dxa"/>
            <w:gridSpan w:val="2"/>
            <w:vAlign w:val="top"/>
          </w:tcPr>
          <w:p w14:paraId="498489EA">
            <w:pPr>
              <w:spacing w:line="600" w:lineRule="exact"/>
              <w:jc w:val="center"/>
            </w:pPr>
            <w:r>
              <w:rPr>
                <w:rFonts w:ascii="仿宋_GB2312" w:hAnsi="仿宋"/>
                <w:sz w:val="24"/>
              </w:rPr>
              <w:t>2015年</w:t>
            </w:r>
          </w:p>
        </w:tc>
      </w:tr>
      <w:tr w14:paraId="708CDD8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vMerge w:val="continue"/>
          </w:tcPr>
          <w:p w14:paraId="5468E474"/>
        </w:tc>
        <w:tc>
          <w:tcPr>
            <w:vMerge w:val="continue"/>
          </w:tcPr>
          <w:p w14:paraId="39CC87DC"/>
        </w:tc>
        <w:tc>
          <w:tcPr>
            <w:tcW w:w="1680" w:type="dxa"/>
            <w:vAlign w:val="top"/>
          </w:tcPr>
          <w:p w14:paraId="40E768FE">
            <w:pPr>
              <w:spacing w:line="600" w:lineRule="exact"/>
              <w:jc w:val="center"/>
            </w:pPr>
            <w:r>
              <w:rPr>
                <w:rFonts w:ascii="仿宋_GB2312" w:hAnsi="仿宋"/>
                <w:sz w:val="24"/>
              </w:rPr>
              <w:t>万立方米/年</w:t>
            </w:r>
          </w:p>
        </w:tc>
        <w:tc>
          <w:tcPr>
            <w:tcW w:w="1559" w:type="dxa"/>
            <w:vAlign w:val="top"/>
          </w:tcPr>
          <w:p w14:paraId="3A5C004D">
            <w:pPr>
              <w:spacing w:line="600" w:lineRule="exact"/>
              <w:jc w:val="center"/>
            </w:pPr>
            <w:r>
              <w:rPr>
                <w:rFonts w:ascii="仿宋_GB2312" w:hAnsi="仿宋"/>
                <w:sz w:val="24"/>
              </w:rPr>
              <w:t>万吨/年</w:t>
            </w:r>
          </w:p>
        </w:tc>
      </w:tr>
      <w:tr w14:paraId="3559C63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7D5CB5EA">
            <w:pPr>
              <w:spacing w:line="600" w:lineRule="exact"/>
              <w:jc w:val="center"/>
            </w:pPr>
            <w:r>
              <w:rPr>
                <w:rFonts w:ascii="仿宋_GB2312" w:hAnsi="仿宋"/>
                <w:sz w:val="24"/>
              </w:rPr>
              <w:t>1</w:t>
            </w:r>
          </w:p>
        </w:tc>
        <w:tc>
          <w:tcPr>
            <w:tcW w:w="1889" w:type="dxa"/>
            <w:vAlign w:val="top"/>
          </w:tcPr>
          <w:p w14:paraId="33BEEF12">
            <w:pPr>
              <w:spacing w:line="600" w:lineRule="exact"/>
            </w:pPr>
            <w:r>
              <w:rPr>
                <w:rFonts w:ascii="仿宋_GB2312" w:hAnsi="仿宋"/>
                <w:sz w:val="24"/>
              </w:rPr>
              <w:t>福州地区</w:t>
            </w:r>
          </w:p>
        </w:tc>
        <w:tc>
          <w:tcPr>
            <w:tcW w:w="1680" w:type="dxa"/>
            <w:vAlign w:val="top"/>
          </w:tcPr>
          <w:p w14:paraId="3735508F">
            <w:pPr>
              <w:spacing w:line="600" w:lineRule="exact"/>
              <w:jc w:val="center"/>
            </w:pPr>
            <w:r>
              <w:rPr>
                <w:rFonts w:ascii="仿宋_GB2312" w:hAnsi="仿宋"/>
                <w:sz w:val="24"/>
              </w:rPr>
              <w:t>22388.7</w:t>
            </w:r>
          </w:p>
        </w:tc>
        <w:tc>
          <w:tcPr>
            <w:tcW w:w="1559" w:type="dxa"/>
            <w:vAlign w:val="top"/>
          </w:tcPr>
          <w:p w14:paraId="47A73F3C">
            <w:pPr>
              <w:spacing w:line="600" w:lineRule="exact"/>
              <w:jc w:val="center"/>
            </w:pPr>
            <w:r>
              <w:rPr>
                <w:rFonts w:ascii="仿宋_GB2312" w:hAnsi="仿宋"/>
                <w:sz w:val="24"/>
              </w:rPr>
              <w:t>15.49</w:t>
            </w:r>
          </w:p>
        </w:tc>
      </w:tr>
      <w:tr w14:paraId="51E18E5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15C085C1">
            <w:pPr>
              <w:spacing w:line="600" w:lineRule="exact"/>
              <w:jc w:val="center"/>
            </w:pPr>
            <w:r>
              <w:rPr>
                <w:rFonts w:ascii="仿宋_GB2312" w:hAnsi="仿宋"/>
                <w:sz w:val="24"/>
              </w:rPr>
              <w:t>2</w:t>
            </w:r>
          </w:p>
        </w:tc>
        <w:tc>
          <w:tcPr>
            <w:tcW w:w="1889" w:type="dxa"/>
            <w:vAlign w:val="top"/>
          </w:tcPr>
          <w:p w14:paraId="4B13E0F8">
            <w:pPr>
              <w:spacing w:line="600" w:lineRule="exact"/>
            </w:pPr>
            <w:r>
              <w:rPr>
                <w:rFonts w:ascii="仿宋_GB2312" w:hAnsi="仿宋"/>
                <w:sz w:val="24"/>
              </w:rPr>
              <w:t>泉州地区</w:t>
            </w:r>
          </w:p>
        </w:tc>
        <w:tc>
          <w:tcPr>
            <w:tcW w:w="1680" w:type="dxa"/>
            <w:vAlign w:val="top"/>
          </w:tcPr>
          <w:p w14:paraId="07C079FA">
            <w:pPr>
              <w:spacing w:line="600" w:lineRule="exact"/>
              <w:jc w:val="center"/>
            </w:pPr>
            <w:r>
              <w:rPr>
                <w:rFonts w:ascii="仿宋_GB2312" w:hAnsi="仿宋"/>
                <w:sz w:val="24"/>
              </w:rPr>
              <w:t>19595.7</w:t>
            </w:r>
          </w:p>
        </w:tc>
        <w:tc>
          <w:tcPr>
            <w:tcW w:w="1559" w:type="dxa"/>
            <w:vAlign w:val="top"/>
          </w:tcPr>
          <w:p w14:paraId="6A4D3497">
            <w:pPr>
              <w:spacing w:line="600" w:lineRule="exact"/>
              <w:jc w:val="center"/>
            </w:pPr>
            <w:r>
              <w:rPr>
                <w:rFonts w:ascii="仿宋_GB2312" w:hAnsi="仿宋"/>
                <w:sz w:val="24"/>
              </w:rPr>
              <w:t>13.6</w:t>
            </w:r>
          </w:p>
        </w:tc>
      </w:tr>
      <w:tr w14:paraId="271471F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4B44C324">
            <w:pPr>
              <w:spacing w:line="600" w:lineRule="exact"/>
              <w:jc w:val="center"/>
            </w:pPr>
            <w:r>
              <w:rPr>
                <w:rFonts w:ascii="仿宋_GB2312" w:hAnsi="仿宋"/>
                <w:sz w:val="24"/>
              </w:rPr>
              <w:t>3</w:t>
            </w:r>
          </w:p>
        </w:tc>
        <w:tc>
          <w:tcPr>
            <w:tcW w:w="1889" w:type="dxa"/>
            <w:vAlign w:val="top"/>
          </w:tcPr>
          <w:p w14:paraId="787E24A8">
            <w:pPr>
              <w:spacing w:line="600" w:lineRule="exact"/>
            </w:pPr>
            <w:r>
              <w:rPr>
                <w:rFonts w:ascii="仿宋_GB2312" w:hAnsi="仿宋"/>
                <w:sz w:val="24"/>
              </w:rPr>
              <w:t>厦门市</w:t>
            </w:r>
          </w:p>
        </w:tc>
        <w:tc>
          <w:tcPr>
            <w:tcW w:w="1680" w:type="dxa"/>
            <w:vAlign w:val="top"/>
          </w:tcPr>
          <w:p w14:paraId="646F58B0">
            <w:pPr>
              <w:spacing w:line="600" w:lineRule="exact"/>
              <w:jc w:val="center"/>
            </w:pPr>
            <w:r>
              <w:rPr>
                <w:rFonts w:ascii="仿宋_GB2312" w:hAnsi="仿宋"/>
                <w:sz w:val="24"/>
              </w:rPr>
              <w:t>12830.4</w:t>
            </w:r>
          </w:p>
        </w:tc>
        <w:tc>
          <w:tcPr>
            <w:tcW w:w="1559" w:type="dxa"/>
            <w:vAlign w:val="top"/>
          </w:tcPr>
          <w:p w14:paraId="5BEA5BF5">
            <w:pPr>
              <w:spacing w:line="600" w:lineRule="exact"/>
              <w:jc w:val="center"/>
            </w:pPr>
            <w:r>
              <w:rPr>
                <w:rFonts w:ascii="仿宋_GB2312" w:hAnsi="仿宋"/>
                <w:sz w:val="24"/>
              </w:rPr>
              <w:t>8.9</w:t>
            </w:r>
          </w:p>
        </w:tc>
      </w:tr>
      <w:tr w14:paraId="739B7AF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09DBBE83">
            <w:pPr>
              <w:spacing w:line="600" w:lineRule="exact"/>
              <w:jc w:val="center"/>
            </w:pPr>
            <w:r>
              <w:rPr>
                <w:rFonts w:ascii="仿宋_GB2312" w:hAnsi="仿宋"/>
                <w:sz w:val="24"/>
              </w:rPr>
              <w:t>4</w:t>
            </w:r>
          </w:p>
        </w:tc>
        <w:tc>
          <w:tcPr>
            <w:tcW w:w="1889" w:type="dxa"/>
            <w:vAlign w:val="top"/>
          </w:tcPr>
          <w:p w14:paraId="524127C3">
            <w:pPr>
              <w:spacing w:line="600" w:lineRule="exact"/>
            </w:pPr>
            <w:r>
              <w:rPr>
                <w:rFonts w:ascii="仿宋_GB2312" w:hAnsi="仿宋"/>
                <w:sz w:val="24"/>
              </w:rPr>
              <w:t>漳州地区</w:t>
            </w:r>
          </w:p>
        </w:tc>
        <w:tc>
          <w:tcPr>
            <w:tcW w:w="1680" w:type="dxa"/>
            <w:vAlign w:val="top"/>
          </w:tcPr>
          <w:p w14:paraId="73936822">
            <w:pPr>
              <w:spacing w:line="600" w:lineRule="exact"/>
              <w:jc w:val="center"/>
            </w:pPr>
            <w:r>
              <w:rPr>
                <w:rFonts w:ascii="仿宋_GB2312" w:hAnsi="仿宋"/>
                <w:sz w:val="24"/>
              </w:rPr>
              <w:t>6070.8</w:t>
            </w:r>
          </w:p>
        </w:tc>
        <w:tc>
          <w:tcPr>
            <w:tcW w:w="1559" w:type="dxa"/>
            <w:vAlign w:val="top"/>
          </w:tcPr>
          <w:p w14:paraId="4D164F28">
            <w:pPr>
              <w:spacing w:line="600" w:lineRule="exact"/>
              <w:jc w:val="center"/>
            </w:pPr>
            <w:r>
              <w:rPr>
                <w:rFonts w:ascii="仿宋_GB2312" w:hAnsi="仿宋"/>
                <w:sz w:val="24"/>
              </w:rPr>
              <w:t>4.2</w:t>
            </w:r>
          </w:p>
        </w:tc>
      </w:tr>
      <w:tr w14:paraId="22E1CA4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0DFF3C08">
            <w:pPr>
              <w:spacing w:line="600" w:lineRule="exact"/>
              <w:jc w:val="center"/>
            </w:pPr>
            <w:r>
              <w:rPr>
                <w:rFonts w:ascii="仿宋_GB2312" w:hAnsi="仿宋"/>
                <w:sz w:val="24"/>
              </w:rPr>
              <w:t>5</w:t>
            </w:r>
          </w:p>
        </w:tc>
        <w:tc>
          <w:tcPr>
            <w:tcW w:w="1889" w:type="dxa"/>
            <w:vAlign w:val="top"/>
          </w:tcPr>
          <w:p w14:paraId="7F06F10B">
            <w:pPr>
              <w:spacing w:line="600" w:lineRule="exact"/>
            </w:pPr>
            <w:r>
              <w:rPr>
                <w:rFonts w:ascii="仿宋_GB2312" w:hAnsi="仿宋"/>
                <w:sz w:val="24"/>
              </w:rPr>
              <w:t>莆田地区</w:t>
            </w:r>
          </w:p>
        </w:tc>
        <w:tc>
          <w:tcPr>
            <w:tcW w:w="1680" w:type="dxa"/>
            <w:vAlign w:val="top"/>
          </w:tcPr>
          <w:p w14:paraId="3BD75D52">
            <w:pPr>
              <w:spacing w:line="600" w:lineRule="exact"/>
              <w:jc w:val="center"/>
            </w:pPr>
            <w:r>
              <w:rPr>
                <w:rFonts w:ascii="仿宋_GB2312" w:hAnsi="仿宋"/>
                <w:sz w:val="24"/>
              </w:rPr>
              <w:t>4117.1</w:t>
            </w:r>
          </w:p>
        </w:tc>
        <w:tc>
          <w:tcPr>
            <w:tcW w:w="1559" w:type="dxa"/>
            <w:vAlign w:val="top"/>
          </w:tcPr>
          <w:p w14:paraId="509CC054">
            <w:pPr>
              <w:spacing w:line="600" w:lineRule="exact"/>
              <w:jc w:val="center"/>
            </w:pPr>
            <w:r>
              <w:rPr>
                <w:rFonts w:ascii="仿宋_GB2312" w:hAnsi="仿宋"/>
                <w:sz w:val="24"/>
              </w:rPr>
              <w:t>2.9</w:t>
            </w:r>
          </w:p>
        </w:tc>
      </w:tr>
      <w:tr w14:paraId="004F3C7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2A2EAEAE">
            <w:pPr>
              <w:spacing w:line="600" w:lineRule="exact"/>
              <w:jc w:val="center"/>
            </w:pPr>
            <w:r>
              <w:rPr>
                <w:rFonts w:ascii="仿宋_GB2312" w:hAnsi="仿宋"/>
                <w:sz w:val="24"/>
              </w:rPr>
              <w:t>6</w:t>
            </w:r>
          </w:p>
        </w:tc>
        <w:tc>
          <w:tcPr>
            <w:tcW w:w="1889" w:type="dxa"/>
            <w:vAlign w:val="top"/>
          </w:tcPr>
          <w:p w14:paraId="5DA6864B">
            <w:pPr>
              <w:spacing w:line="600" w:lineRule="exact"/>
            </w:pPr>
            <w:r>
              <w:rPr>
                <w:rFonts w:ascii="仿宋_GB2312" w:hAnsi="仿宋"/>
                <w:sz w:val="24"/>
              </w:rPr>
              <w:t>三明地区</w:t>
            </w:r>
          </w:p>
        </w:tc>
        <w:tc>
          <w:tcPr>
            <w:tcW w:w="1680" w:type="dxa"/>
            <w:vAlign w:val="top"/>
          </w:tcPr>
          <w:p w14:paraId="0B3317BF">
            <w:pPr>
              <w:spacing w:line="600" w:lineRule="exact"/>
              <w:jc w:val="center"/>
            </w:pPr>
            <w:r>
              <w:rPr>
                <w:rFonts w:ascii="仿宋_GB2312" w:hAnsi="仿宋"/>
                <w:sz w:val="24"/>
              </w:rPr>
              <w:t>5792.2</w:t>
            </w:r>
          </w:p>
        </w:tc>
        <w:tc>
          <w:tcPr>
            <w:tcW w:w="1559" w:type="dxa"/>
            <w:vAlign w:val="top"/>
          </w:tcPr>
          <w:p w14:paraId="3B950C79">
            <w:pPr>
              <w:spacing w:line="600" w:lineRule="exact"/>
              <w:jc w:val="center"/>
            </w:pPr>
            <w:r>
              <w:rPr>
                <w:rFonts w:ascii="仿宋_GB2312" w:hAnsi="仿宋"/>
                <w:sz w:val="24"/>
              </w:rPr>
              <w:t>4.0</w:t>
            </w:r>
          </w:p>
        </w:tc>
      </w:tr>
      <w:tr w14:paraId="26A3AE8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4033BE9B">
            <w:pPr>
              <w:spacing w:line="600" w:lineRule="exact"/>
              <w:jc w:val="center"/>
            </w:pPr>
            <w:r>
              <w:rPr>
                <w:rFonts w:ascii="仿宋_GB2312" w:hAnsi="仿宋"/>
                <w:sz w:val="24"/>
              </w:rPr>
              <w:t>7</w:t>
            </w:r>
          </w:p>
        </w:tc>
        <w:tc>
          <w:tcPr>
            <w:tcW w:w="1889" w:type="dxa"/>
            <w:vAlign w:val="top"/>
          </w:tcPr>
          <w:p w14:paraId="709BCB6A">
            <w:pPr>
              <w:spacing w:line="600" w:lineRule="exact"/>
            </w:pPr>
            <w:r>
              <w:rPr>
                <w:rFonts w:ascii="仿宋_GB2312" w:hAnsi="仿宋"/>
                <w:sz w:val="24"/>
              </w:rPr>
              <w:t>宁德地区</w:t>
            </w:r>
          </w:p>
        </w:tc>
        <w:tc>
          <w:tcPr>
            <w:tcW w:w="1680" w:type="dxa"/>
            <w:vAlign w:val="top"/>
          </w:tcPr>
          <w:p w14:paraId="32E0A5DC">
            <w:pPr>
              <w:spacing w:line="600" w:lineRule="exact"/>
              <w:jc w:val="center"/>
            </w:pPr>
            <w:r>
              <w:rPr>
                <w:rFonts w:ascii="仿宋_GB2312" w:hAnsi="仿宋"/>
                <w:sz w:val="24"/>
              </w:rPr>
              <w:t>5126.5</w:t>
            </w:r>
          </w:p>
        </w:tc>
        <w:tc>
          <w:tcPr>
            <w:tcW w:w="1559" w:type="dxa"/>
            <w:vAlign w:val="top"/>
          </w:tcPr>
          <w:p w14:paraId="5A115722">
            <w:pPr>
              <w:spacing w:line="600" w:lineRule="exact"/>
              <w:jc w:val="center"/>
            </w:pPr>
            <w:r>
              <w:rPr>
                <w:rFonts w:ascii="仿宋_GB2312" w:hAnsi="仿宋"/>
                <w:sz w:val="24"/>
              </w:rPr>
              <w:t>3.6</w:t>
            </w:r>
          </w:p>
        </w:tc>
      </w:tr>
      <w:tr w14:paraId="488DCEA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2D723C24">
            <w:pPr>
              <w:spacing w:line="600" w:lineRule="exact"/>
              <w:jc w:val="center"/>
            </w:pPr>
            <w:r>
              <w:rPr>
                <w:rFonts w:ascii="仿宋_GB2312" w:hAnsi="仿宋"/>
                <w:sz w:val="24"/>
              </w:rPr>
              <w:t>8</w:t>
            </w:r>
          </w:p>
        </w:tc>
        <w:tc>
          <w:tcPr>
            <w:tcW w:w="1889" w:type="dxa"/>
            <w:vAlign w:val="top"/>
          </w:tcPr>
          <w:p w14:paraId="32283CF5">
            <w:pPr>
              <w:spacing w:line="600" w:lineRule="exact"/>
            </w:pPr>
            <w:r>
              <w:rPr>
                <w:rFonts w:ascii="仿宋_GB2312" w:hAnsi="仿宋"/>
                <w:sz w:val="24"/>
              </w:rPr>
              <w:t>南平地区</w:t>
            </w:r>
          </w:p>
        </w:tc>
        <w:tc>
          <w:tcPr>
            <w:tcW w:w="1680" w:type="dxa"/>
            <w:vAlign w:val="top"/>
          </w:tcPr>
          <w:p w14:paraId="42A3F2CB">
            <w:pPr>
              <w:spacing w:line="600" w:lineRule="exact"/>
              <w:jc w:val="center"/>
            </w:pPr>
            <w:r>
              <w:rPr>
                <w:rFonts w:ascii="仿宋_GB2312" w:hAnsi="仿宋"/>
                <w:sz w:val="24"/>
              </w:rPr>
              <w:t>4283.4</w:t>
            </w:r>
          </w:p>
        </w:tc>
        <w:tc>
          <w:tcPr>
            <w:tcW w:w="1559" w:type="dxa"/>
            <w:vAlign w:val="top"/>
          </w:tcPr>
          <w:p w14:paraId="6C46AEC5">
            <w:pPr>
              <w:spacing w:line="600" w:lineRule="exact"/>
              <w:jc w:val="center"/>
            </w:pPr>
            <w:r>
              <w:rPr>
                <w:rFonts w:ascii="仿宋_GB2312" w:hAnsi="仿宋"/>
                <w:sz w:val="24"/>
              </w:rPr>
              <w:t>3.0</w:t>
            </w:r>
          </w:p>
        </w:tc>
      </w:tr>
      <w:tr w14:paraId="4DE1DA9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41914527">
            <w:pPr>
              <w:spacing w:line="600" w:lineRule="exact"/>
              <w:jc w:val="center"/>
            </w:pPr>
            <w:r>
              <w:rPr>
                <w:rFonts w:ascii="仿宋_GB2312" w:hAnsi="仿宋"/>
                <w:sz w:val="24"/>
              </w:rPr>
              <w:t>9</w:t>
            </w:r>
          </w:p>
        </w:tc>
        <w:tc>
          <w:tcPr>
            <w:tcW w:w="1889" w:type="dxa"/>
            <w:vAlign w:val="top"/>
          </w:tcPr>
          <w:p w14:paraId="263F6347">
            <w:pPr>
              <w:spacing w:line="600" w:lineRule="exact"/>
            </w:pPr>
            <w:r>
              <w:rPr>
                <w:rFonts w:ascii="仿宋_GB2312" w:hAnsi="仿宋"/>
                <w:sz w:val="24"/>
              </w:rPr>
              <w:t>龙岩地区</w:t>
            </w:r>
          </w:p>
        </w:tc>
        <w:tc>
          <w:tcPr>
            <w:tcW w:w="1680" w:type="dxa"/>
            <w:vAlign w:val="top"/>
          </w:tcPr>
          <w:p w14:paraId="1C2C21A2">
            <w:pPr>
              <w:spacing w:line="600" w:lineRule="exact"/>
              <w:jc w:val="center"/>
            </w:pPr>
            <w:r>
              <w:rPr>
                <w:rFonts w:ascii="仿宋_GB2312" w:hAnsi="仿宋"/>
                <w:sz w:val="24"/>
              </w:rPr>
              <w:t>5462.8</w:t>
            </w:r>
          </w:p>
        </w:tc>
        <w:tc>
          <w:tcPr>
            <w:tcW w:w="1559" w:type="dxa"/>
            <w:vAlign w:val="top"/>
          </w:tcPr>
          <w:p w14:paraId="50620B4F">
            <w:pPr>
              <w:spacing w:line="600" w:lineRule="exact"/>
              <w:jc w:val="center"/>
            </w:pPr>
            <w:r>
              <w:rPr>
                <w:rFonts w:ascii="仿宋_GB2312" w:hAnsi="仿宋"/>
                <w:sz w:val="24"/>
              </w:rPr>
              <w:t>3.8</w:t>
            </w:r>
          </w:p>
        </w:tc>
      </w:tr>
      <w:tr w14:paraId="6F6F824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3BCFF045">
            <w:pPr>
              <w:spacing w:line="600" w:lineRule="exact"/>
              <w:jc w:val="center"/>
            </w:pPr>
            <w:r>
              <w:rPr>
                <w:rFonts w:ascii="仿宋_GB2312" w:hAnsi="仿宋"/>
                <w:sz w:val="24"/>
              </w:rPr>
              <w:t>10</w:t>
            </w:r>
          </w:p>
        </w:tc>
        <w:tc>
          <w:tcPr>
            <w:tcW w:w="1889" w:type="dxa"/>
            <w:vAlign w:val="top"/>
          </w:tcPr>
          <w:p w14:paraId="285ADCE5">
            <w:pPr>
              <w:spacing w:line="600" w:lineRule="exact"/>
            </w:pPr>
            <w:r>
              <w:rPr>
                <w:rFonts w:ascii="仿宋_GB2312" w:hAnsi="仿宋"/>
                <w:sz w:val="24"/>
              </w:rPr>
              <w:t>平潭综合实验区</w:t>
            </w:r>
          </w:p>
        </w:tc>
        <w:tc>
          <w:tcPr>
            <w:tcW w:w="1680" w:type="dxa"/>
            <w:vAlign w:val="top"/>
          </w:tcPr>
          <w:p w14:paraId="2A6DB129">
            <w:pPr>
              <w:spacing w:line="600" w:lineRule="exact"/>
              <w:jc w:val="center"/>
            </w:pPr>
            <w:r>
              <w:rPr>
                <w:rFonts w:ascii="仿宋_GB2312" w:hAnsi="仿宋"/>
                <w:sz w:val="24"/>
              </w:rPr>
              <w:t>2560</w:t>
            </w:r>
          </w:p>
        </w:tc>
        <w:tc>
          <w:tcPr>
            <w:tcW w:w="1559" w:type="dxa"/>
            <w:vAlign w:val="top"/>
          </w:tcPr>
          <w:p w14:paraId="4DC05A3B">
            <w:pPr>
              <w:spacing w:line="600" w:lineRule="exact"/>
              <w:jc w:val="center"/>
            </w:pPr>
            <w:r>
              <w:rPr>
                <w:rFonts w:ascii="仿宋_GB2312" w:hAnsi="仿宋"/>
                <w:sz w:val="24"/>
              </w:rPr>
              <w:t>1.81</w:t>
            </w:r>
          </w:p>
        </w:tc>
      </w:tr>
      <w:tr w14:paraId="64F0165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70B22ED8">
            <w:pPr>
              <w:spacing w:line="600" w:lineRule="exact"/>
              <w:jc w:val="center"/>
            </w:pPr>
            <w:r>
              <w:rPr>
                <w:rFonts w:ascii="仿宋_GB2312" w:hAnsi="仿宋"/>
                <w:sz w:val="24"/>
              </w:rPr>
              <w:t>11</w:t>
            </w:r>
          </w:p>
        </w:tc>
        <w:tc>
          <w:tcPr>
            <w:tcW w:w="1889" w:type="dxa"/>
            <w:vAlign w:val="top"/>
          </w:tcPr>
          <w:p w14:paraId="3563F57B">
            <w:pPr>
              <w:spacing w:line="600" w:lineRule="exact"/>
            </w:pPr>
            <w:r>
              <w:rPr>
                <w:rFonts w:ascii="仿宋_GB2312" w:hAnsi="仿宋"/>
                <w:sz w:val="24"/>
              </w:rPr>
              <w:t>汽车</w:t>
            </w:r>
          </w:p>
        </w:tc>
        <w:tc>
          <w:tcPr>
            <w:tcW w:w="1680" w:type="dxa"/>
            <w:vAlign w:val="top"/>
          </w:tcPr>
          <w:p w14:paraId="37B235B6">
            <w:pPr>
              <w:spacing w:line="600" w:lineRule="exact"/>
              <w:jc w:val="center"/>
            </w:pPr>
            <w:r>
              <w:rPr>
                <w:rFonts w:ascii="仿宋_GB2312" w:hAnsi="仿宋"/>
                <w:sz w:val="24"/>
              </w:rPr>
              <w:t>24561.4</w:t>
            </w:r>
          </w:p>
        </w:tc>
        <w:tc>
          <w:tcPr>
            <w:tcW w:w="1559" w:type="dxa"/>
            <w:vAlign w:val="top"/>
          </w:tcPr>
          <w:p w14:paraId="21D02F5F">
            <w:pPr>
              <w:spacing w:line="600" w:lineRule="exact"/>
              <w:jc w:val="center"/>
            </w:pPr>
            <w:r>
              <w:rPr>
                <w:rFonts w:ascii="仿宋_GB2312" w:hAnsi="仿宋"/>
                <w:sz w:val="24"/>
              </w:rPr>
              <w:t>17.1</w:t>
            </w:r>
          </w:p>
        </w:tc>
      </w:tr>
      <w:tr w14:paraId="7575E9A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432907C8">
            <w:pPr>
              <w:spacing w:line="600" w:lineRule="exact"/>
              <w:jc w:val="center"/>
            </w:pPr>
            <w:r>
              <w:rPr>
                <w:rFonts w:ascii="仿宋_GB2312" w:hAnsi="仿宋"/>
                <w:sz w:val="24"/>
              </w:rPr>
              <w:t>12</w:t>
            </w:r>
          </w:p>
        </w:tc>
        <w:tc>
          <w:tcPr>
            <w:tcW w:w="1889" w:type="dxa"/>
            <w:vAlign w:val="top"/>
          </w:tcPr>
          <w:p w14:paraId="7A4CBC8E">
            <w:pPr>
              <w:spacing w:line="600" w:lineRule="exact"/>
            </w:pPr>
            <w:r>
              <w:rPr>
                <w:rFonts w:ascii="仿宋_GB2312" w:hAnsi="仿宋"/>
                <w:sz w:val="24"/>
              </w:rPr>
              <w:t>工业</w:t>
            </w:r>
          </w:p>
        </w:tc>
        <w:tc>
          <w:tcPr>
            <w:tcW w:w="1680" w:type="dxa"/>
            <w:vAlign w:val="top"/>
          </w:tcPr>
          <w:p w14:paraId="26B00C2E">
            <w:pPr>
              <w:spacing w:line="600" w:lineRule="exact"/>
              <w:jc w:val="center"/>
            </w:pPr>
            <w:r>
              <w:rPr>
                <w:rFonts w:ascii="仿宋_GB2312" w:hAnsi="仿宋"/>
                <w:sz w:val="24"/>
              </w:rPr>
              <w:t>331936.3</w:t>
            </w:r>
          </w:p>
        </w:tc>
        <w:tc>
          <w:tcPr>
            <w:tcW w:w="1559" w:type="dxa"/>
            <w:vAlign w:val="top"/>
          </w:tcPr>
          <w:p w14:paraId="63114977">
            <w:pPr>
              <w:spacing w:line="600" w:lineRule="exact"/>
              <w:jc w:val="center"/>
            </w:pPr>
            <w:r>
              <w:rPr>
                <w:rFonts w:ascii="仿宋_GB2312" w:hAnsi="仿宋"/>
                <w:sz w:val="24"/>
              </w:rPr>
              <w:t>230.7</w:t>
            </w:r>
          </w:p>
        </w:tc>
      </w:tr>
      <w:tr w14:paraId="79BB016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top"/>
          </w:tcPr>
          <w:p w14:paraId="654CCB88">
            <w:pPr>
              <w:spacing w:line="600" w:lineRule="exact"/>
              <w:jc w:val="center"/>
            </w:pPr>
            <w:r>
              <w:rPr>
                <w:rFonts w:ascii="仿宋_GB2312" w:hAnsi="仿宋"/>
                <w:sz w:val="24"/>
              </w:rPr>
              <w:t>13</w:t>
            </w:r>
          </w:p>
        </w:tc>
        <w:tc>
          <w:tcPr>
            <w:tcW w:w="1889" w:type="dxa"/>
            <w:vAlign w:val="top"/>
          </w:tcPr>
          <w:p w14:paraId="1354319A">
            <w:pPr>
              <w:spacing w:line="600" w:lineRule="exact"/>
            </w:pPr>
            <w:r>
              <w:rPr>
                <w:rFonts w:ascii="仿宋_GB2312" w:hAnsi="仿宋"/>
                <w:sz w:val="24"/>
              </w:rPr>
              <w:t>合计</w:t>
            </w:r>
          </w:p>
        </w:tc>
        <w:tc>
          <w:tcPr>
            <w:tcW w:w="1680" w:type="dxa"/>
            <w:vAlign w:val="top"/>
          </w:tcPr>
          <w:p w14:paraId="72A92AC4">
            <w:pPr>
              <w:spacing w:line="600" w:lineRule="exact"/>
              <w:jc w:val="center"/>
            </w:pPr>
            <w:r>
              <w:rPr>
                <w:rFonts w:ascii="仿宋_GB2312" w:hAnsi="仿宋"/>
                <w:sz w:val="24"/>
              </w:rPr>
              <w:t>444725.3</w:t>
            </w:r>
          </w:p>
        </w:tc>
        <w:tc>
          <w:tcPr>
            <w:tcW w:w="1559" w:type="dxa"/>
            <w:vAlign w:val="top"/>
          </w:tcPr>
          <w:p w14:paraId="50CD5A56">
            <w:pPr>
              <w:spacing w:line="600" w:lineRule="exact"/>
              <w:jc w:val="center"/>
            </w:pPr>
            <w:r>
              <w:rPr>
                <w:rFonts w:ascii="仿宋_GB2312" w:hAnsi="仿宋"/>
                <w:sz w:val="24"/>
              </w:rPr>
              <w:t>309.1</w:t>
            </w:r>
          </w:p>
        </w:tc>
      </w:tr>
    </w:tbl>
    <w:p w14:paraId="45A7A569">
      <w:pPr>
        <w:spacing w:line="600" w:lineRule="exact"/>
        <w:ind w:firstLine="397"/>
        <w:rPr>
          <w:rFonts w:ascii="仿宋_GB2312" w:hAnsi="仿宋"/>
          <w:sz w:val="29"/>
        </w:rPr>
      </w:pP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注：不包括电厂的用气量。</w:t>
      </w:r>
    </w:p>
    <w:p w14:paraId="2EA6CA96">
      <w:pPr>
        <w:spacing w:line="600" w:lineRule="exact"/>
        <w:ind w:firstLine="548"/>
      </w:pPr>
      <w:r>
        <w:rPr>
          <w:rFonts w:ascii="仿宋_GB2312" w:hAnsi="仿宋"/>
          <w:sz w:val="29"/>
        </w:rPr>
        <w:t>3、乐观方案需求预测</w:t>
      </w:r>
    </w:p>
    <w:p w14:paraId="2956CF1F">
      <w:pPr>
        <w:spacing w:line="600" w:lineRule="exact"/>
        <w:ind w:firstLine="548"/>
      </w:pPr>
      <w:r>
        <w:rPr>
          <w:rFonts w:ascii="仿宋_GB2312" w:hAnsi="仿宋"/>
          <w:sz w:val="29"/>
        </w:rPr>
        <w:t>乐观方案需求预测结果见5-4。</w:t>
      </w:r>
    </w:p>
    <w:p w14:paraId="690C2D67">
      <w:pPr>
        <w:spacing w:line="600" w:lineRule="exact"/>
        <w:ind w:firstLine="397"/>
        <w:jc w:val="center"/>
      </w:pPr>
      <w:r>
        <w:rPr>
          <w:rFonts w:ascii="仿宋_GB2312" w:hAnsi="仿宋"/>
          <w:szCs w:val="21"/>
        </w:rPr>
        <w:t xml:space="preserve">表5-4 </w:t>
      </w:r>
      <w:r>
        <w:rPr>
          <w:rFonts w:ascii="仿宋_GB2312" w:hAnsi="仿宋"/>
          <w:sz w:val="29"/>
        </w:rPr>
        <w:t xml:space="preserve"> </w:t>
      </w:r>
      <w:r>
        <w:rPr>
          <w:rFonts w:ascii="仿宋_GB2312" w:hAnsi="仿宋"/>
          <w:sz w:val="24"/>
        </w:rPr>
        <w:t>天然气市场需求预测表（乐观方案）</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791"/>
        <w:gridCol w:w="1890"/>
        <w:gridCol w:w="1680"/>
        <w:gridCol w:w="1501"/>
      </w:tblGrid>
      <w:tr w14:paraId="5BACD7B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Merge w:val="restart"/>
            <w:vAlign w:val="center"/>
          </w:tcPr>
          <w:p w14:paraId="523F2749">
            <w:pPr>
              <w:spacing w:line="600" w:lineRule="exact"/>
              <w:jc w:val="center"/>
            </w:pPr>
            <w:r>
              <w:rPr>
                <w:rFonts w:ascii="仿宋_GB2312" w:hAnsi="仿宋"/>
                <w:sz w:val="24"/>
              </w:rPr>
              <w:t>序号</w:t>
            </w:r>
          </w:p>
        </w:tc>
        <w:tc>
          <w:tcPr>
            <w:tcW w:w="1890" w:type="dxa"/>
            <w:vMerge w:val="restart"/>
            <w:vAlign w:val="center"/>
          </w:tcPr>
          <w:p w14:paraId="24792BF2">
            <w:pPr>
              <w:spacing w:line="600" w:lineRule="exact"/>
              <w:jc w:val="center"/>
            </w:pPr>
            <w:r>
              <w:rPr>
                <w:rFonts w:ascii="仿宋_GB2312" w:hAnsi="仿宋"/>
                <w:sz w:val="24"/>
              </w:rPr>
              <w:t>地区名称</w:t>
            </w:r>
          </w:p>
        </w:tc>
        <w:tc>
          <w:tcPr>
            <w:tcW w:w="3181" w:type="dxa"/>
            <w:gridSpan w:val="2"/>
            <w:vAlign w:val="top"/>
          </w:tcPr>
          <w:p w14:paraId="4F134EB9">
            <w:pPr>
              <w:spacing w:line="600" w:lineRule="exact"/>
              <w:jc w:val="center"/>
            </w:pPr>
            <w:r>
              <w:rPr>
                <w:rFonts w:ascii="仿宋_GB2312" w:hAnsi="仿宋"/>
                <w:sz w:val="24"/>
              </w:rPr>
              <w:t>2015年</w:t>
            </w:r>
          </w:p>
        </w:tc>
      </w:tr>
      <w:tr w14:paraId="0C1A6FA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vMerge w:val="continue"/>
          </w:tcPr>
          <w:p w14:paraId="5C0B88C8"/>
        </w:tc>
        <w:tc>
          <w:tcPr>
            <w:vMerge w:val="continue"/>
          </w:tcPr>
          <w:p w14:paraId="67CA1AB9"/>
        </w:tc>
        <w:tc>
          <w:tcPr>
            <w:tcW w:w="1680" w:type="dxa"/>
            <w:vAlign w:val="top"/>
          </w:tcPr>
          <w:p w14:paraId="302712CD">
            <w:pPr>
              <w:spacing w:line="600" w:lineRule="exact"/>
              <w:jc w:val="center"/>
            </w:pPr>
            <w:r>
              <w:rPr>
                <w:rFonts w:ascii="仿宋_GB2312" w:hAnsi="仿宋"/>
                <w:sz w:val="24"/>
              </w:rPr>
              <w:t>万立方米/年</w:t>
            </w:r>
          </w:p>
        </w:tc>
        <w:tc>
          <w:tcPr>
            <w:tcW w:w="1501" w:type="dxa"/>
            <w:vAlign w:val="top"/>
          </w:tcPr>
          <w:p w14:paraId="6DFC5A9D">
            <w:pPr>
              <w:spacing w:line="600" w:lineRule="exact"/>
              <w:jc w:val="center"/>
            </w:pPr>
            <w:r>
              <w:rPr>
                <w:rFonts w:ascii="仿宋_GB2312" w:hAnsi="仿宋"/>
                <w:sz w:val="24"/>
              </w:rPr>
              <w:t>万吨/年</w:t>
            </w:r>
          </w:p>
        </w:tc>
      </w:tr>
      <w:tr w14:paraId="2195D46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118AE004">
            <w:pPr>
              <w:spacing w:line="600" w:lineRule="exact"/>
              <w:jc w:val="center"/>
            </w:pPr>
            <w:r>
              <w:rPr>
                <w:rFonts w:ascii="仿宋_GB2312" w:hAnsi="仿宋"/>
                <w:sz w:val="24"/>
              </w:rPr>
              <w:t>1</w:t>
            </w:r>
          </w:p>
        </w:tc>
        <w:tc>
          <w:tcPr>
            <w:tcW w:w="1890" w:type="dxa"/>
            <w:vAlign w:val="top"/>
          </w:tcPr>
          <w:p w14:paraId="0F51AD43">
            <w:pPr>
              <w:spacing w:line="600" w:lineRule="exact"/>
            </w:pPr>
            <w:r>
              <w:rPr>
                <w:rFonts w:ascii="仿宋_GB2312" w:hAnsi="仿宋"/>
                <w:sz w:val="24"/>
              </w:rPr>
              <w:t>福州地区</w:t>
            </w:r>
          </w:p>
        </w:tc>
        <w:tc>
          <w:tcPr>
            <w:tcW w:w="1680" w:type="dxa"/>
            <w:vAlign w:val="center"/>
          </w:tcPr>
          <w:p w14:paraId="0EBC1884">
            <w:pPr>
              <w:spacing w:line="600" w:lineRule="exact"/>
              <w:jc w:val="center"/>
            </w:pPr>
            <w:r>
              <w:rPr>
                <w:rFonts w:ascii="仿宋_GB2312" w:hAnsi="仿宋"/>
                <w:sz w:val="24"/>
              </w:rPr>
              <w:t>22388.7</w:t>
            </w:r>
          </w:p>
        </w:tc>
        <w:tc>
          <w:tcPr>
            <w:tcW w:w="1501" w:type="dxa"/>
            <w:vAlign w:val="center"/>
          </w:tcPr>
          <w:p w14:paraId="5CF60199">
            <w:pPr>
              <w:spacing w:line="600" w:lineRule="exact"/>
              <w:jc w:val="center"/>
            </w:pPr>
            <w:r>
              <w:rPr>
                <w:rFonts w:ascii="仿宋_GB2312" w:hAnsi="仿宋"/>
                <w:sz w:val="24"/>
              </w:rPr>
              <w:t>15.49</w:t>
            </w:r>
          </w:p>
        </w:tc>
      </w:tr>
      <w:tr w14:paraId="192AC0A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1E531A06">
            <w:pPr>
              <w:spacing w:line="600" w:lineRule="exact"/>
              <w:jc w:val="center"/>
            </w:pPr>
            <w:r>
              <w:rPr>
                <w:rFonts w:ascii="仿宋_GB2312" w:hAnsi="仿宋"/>
                <w:sz w:val="24"/>
              </w:rPr>
              <w:t>2</w:t>
            </w:r>
          </w:p>
        </w:tc>
        <w:tc>
          <w:tcPr>
            <w:tcW w:w="1890" w:type="dxa"/>
            <w:vAlign w:val="top"/>
          </w:tcPr>
          <w:p w14:paraId="5965A98E">
            <w:pPr>
              <w:spacing w:line="600" w:lineRule="exact"/>
            </w:pPr>
            <w:r>
              <w:rPr>
                <w:rFonts w:ascii="仿宋_GB2312" w:hAnsi="仿宋"/>
                <w:sz w:val="24"/>
              </w:rPr>
              <w:t>泉州地区</w:t>
            </w:r>
          </w:p>
        </w:tc>
        <w:tc>
          <w:tcPr>
            <w:tcW w:w="1680" w:type="dxa"/>
            <w:vAlign w:val="top"/>
          </w:tcPr>
          <w:p w14:paraId="7B514A89">
            <w:pPr>
              <w:spacing w:line="600" w:lineRule="exact"/>
              <w:jc w:val="center"/>
            </w:pPr>
            <w:r>
              <w:rPr>
                <w:rFonts w:ascii="仿宋_GB2312" w:hAnsi="仿宋"/>
                <w:sz w:val="24"/>
              </w:rPr>
              <w:t>19595.7</w:t>
            </w:r>
          </w:p>
        </w:tc>
        <w:tc>
          <w:tcPr>
            <w:tcW w:w="1501" w:type="dxa"/>
            <w:vAlign w:val="top"/>
          </w:tcPr>
          <w:p w14:paraId="26C648D5">
            <w:pPr>
              <w:spacing w:line="600" w:lineRule="exact"/>
              <w:jc w:val="center"/>
            </w:pPr>
            <w:r>
              <w:rPr>
                <w:rFonts w:ascii="仿宋_GB2312" w:hAnsi="仿宋"/>
                <w:sz w:val="24"/>
              </w:rPr>
              <w:t>13.6</w:t>
            </w:r>
          </w:p>
        </w:tc>
      </w:tr>
      <w:tr w14:paraId="7C75ACE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66A2998F">
            <w:pPr>
              <w:spacing w:line="600" w:lineRule="exact"/>
              <w:jc w:val="center"/>
            </w:pPr>
            <w:r>
              <w:rPr>
                <w:rFonts w:ascii="仿宋_GB2312" w:hAnsi="仿宋"/>
                <w:sz w:val="24"/>
              </w:rPr>
              <w:t>3</w:t>
            </w:r>
          </w:p>
        </w:tc>
        <w:tc>
          <w:tcPr>
            <w:tcW w:w="1890" w:type="dxa"/>
            <w:vAlign w:val="top"/>
          </w:tcPr>
          <w:p w14:paraId="17D2C22E">
            <w:pPr>
              <w:spacing w:line="600" w:lineRule="exact"/>
            </w:pPr>
            <w:r>
              <w:rPr>
                <w:rFonts w:ascii="仿宋_GB2312" w:hAnsi="仿宋"/>
                <w:sz w:val="24"/>
              </w:rPr>
              <w:t>厦门市</w:t>
            </w:r>
          </w:p>
        </w:tc>
        <w:tc>
          <w:tcPr>
            <w:tcW w:w="1680" w:type="dxa"/>
            <w:vAlign w:val="top"/>
          </w:tcPr>
          <w:p w14:paraId="7119FD65">
            <w:pPr>
              <w:spacing w:line="600" w:lineRule="exact"/>
              <w:jc w:val="center"/>
            </w:pPr>
            <w:r>
              <w:rPr>
                <w:rFonts w:ascii="仿宋_GB2312" w:hAnsi="仿宋"/>
                <w:sz w:val="24"/>
              </w:rPr>
              <w:t>12830.4</w:t>
            </w:r>
          </w:p>
        </w:tc>
        <w:tc>
          <w:tcPr>
            <w:tcW w:w="1501" w:type="dxa"/>
            <w:vAlign w:val="top"/>
          </w:tcPr>
          <w:p w14:paraId="16EA2FD3">
            <w:pPr>
              <w:spacing w:line="600" w:lineRule="exact"/>
              <w:jc w:val="center"/>
            </w:pPr>
            <w:r>
              <w:rPr>
                <w:rFonts w:ascii="仿宋_GB2312" w:hAnsi="仿宋"/>
                <w:sz w:val="24"/>
              </w:rPr>
              <w:t>8.9</w:t>
            </w:r>
          </w:p>
        </w:tc>
      </w:tr>
      <w:tr w14:paraId="31818FA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340EE658">
            <w:pPr>
              <w:spacing w:line="600" w:lineRule="exact"/>
              <w:jc w:val="center"/>
            </w:pPr>
            <w:r>
              <w:rPr>
                <w:rFonts w:ascii="仿宋_GB2312" w:hAnsi="仿宋"/>
                <w:sz w:val="24"/>
              </w:rPr>
              <w:t>4</w:t>
            </w:r>
          </w:p>
        </w:tc>
        <w:tc>
          <w:tcPr>
            <w:tcW w:w="1890" w:type="dxa"/>
            <w:vAlign w:val="top"/>
          </w:tcPr>
          <w:p w14:paraId="1F160270">
            <w:pPr>
              <w:spacing w:line="600" w:lineRule="exact"/>
            </w:pPr>
            <w:r>
              <w:rPr>
                <w:rFonts w:ascii="仿宋_GB2312" w:hAnsi="仿宋"/>
                <w:sz w:val="24"/>
              </w:rPr>
              <w:t>漳州地区</w:t>
            </w:r>
          </w:p>
        </w:tc>
        <w:tc>
          <w:tcPr>
            <w:tcW w:w="1680" w:type="dxa"/>
            <w:vAlign w:val="top"/>
          </w:tcPr>
          <w:p w14:paraId="0B1EA841">
            <w:pPr>
              <w:spacing w:line="600" w:lineRule="exact"/>
              <w:jc w:val="center"/>
            </w:pPr>
            <w:r>
              <w:rPr>
                <w:rFonts w:ascii="仿宋_GB2312" w:hAnsi="仿宋"/>
                <w:sz w:val="24"/>
              </w:rPr>
              <w:t>6070.8</w:t>
            </w:r>
          </w:p>
        </w:tc>
        <w:tc>
          <w:tcPr>
            <w:tcW w:w="1501" w:type="dxa"/>
            <w:vAlign w:val="top"/>
          </w:tcPr>
          <w:p w14:paraId="1D40901C">
            <w:pPr>
              <w:spacing w:line="600" w:lineRule="exact"/>
              <w:jc w:val="center"/>
            </w:pPr>
            <w:r>
              <w:rPr>
                <w:rFonts w:ascii="仿宋_GB2312" w:hAnsi="仿宋"/>
                <w:sz w:val="24"/>
              </w:rPr>
              <w:t>4.2</w:t>
            </w:r>
          </w:p>
        </w:tc>
      </w:tr>
      <w:tr w14:paraId="18BB53E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433C683A">
            <w:pPr>
              <w:spacing w:line="600" w:lineRule="exact"/>
              <w:jc w:val="center"/>
            </w:pPr>
            <w:r>
              <w:rPr>
                <w:rFonts w:ascii="仿宋_GB2312" w:hAnsi="仿宋"/>
                <w:sz w:val="24"/>
              </w:rPr>
              <w:t>5</w:t>
            </w:r>
          </w:p>
        </w:tc>
        <w:tc>
          <w:tcPr>
            <w:tcW w:w="1890" w:type="dxa"/>
            <w:vAlign w:val="top"/>
          </w:tcPr>
          <w:p w14:paraId="1D7B8AD1">
            <w:pPr>
              <w:spacing w:line="600" w:lineRule="exact"/>
            </w:pPr>
            <w:r>
              <w:rPr>
                <w:rFonts w:ascii="仿宋_GB2312" w:hAnsi="仿宋"/>
                <w:sz w:val="24"/>
              </w:rPr>
              <w:t>莆田地区</w:t>
            </w:r>
          </w:p>
        </w:tc>
        <w:tc>
          <w:tcPr>
            <w:tcW w:w="1680" w:type="dxa"/>
            <w:vAlign w:val="top"/>
          </w:tcPr>
          <w:p w14:paraId="42A86257">
            <w:pPr>
              <w:spacing w:line="600" w:lineRule="exact"/>
              <w:jc w:val="center"/>
            </w:pPr>
            <w:r>
              <w:rPr>
                <w:rFonts w:ascii="仿宋_GB2312" w:hAnsi="仿宋"/>
                <w:sz w:val="24"/>
              </w:rPr>
              <w:t>4117.1</w:t>
            </w:r>
          </w:p>
        </w:tc>
        <w:tc>
          <w:tcPr>
            <w:tcW w:w="1501" w:type="dxa"/>
            <w:vAlign w:val="top"/>
          </w:tcPr>
          <w:p w14:paraId="7DCB18BE">
            <w:pPr>
              <w:spacing w:line="600" w:lineRule="exact"/>
              <w:jc w:val="center"/>
            </w:pPr>
            <w:r>
              <w:rPr>
                <w:rFonts w:ascii="仿宋_GB2312" w:hAnsi="仿宋"/>
                <w:sz w:val="24"/>
              </w:rPr>
              <w:t>2.9</w:t>
            </w:r>
          </w:p>
        </w:tc>
      </w:tr>
      <w:tr w14:paraId="760172B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58DE0C1C">
            <w:pPr>
              <w:spacing w:line="600" w:lineRule="exact"/>
              <w:jc w:val="center"/>
            </w:pPr>
            <w:r>
              <w:rPr>
                <w:rFonts w:ascii="仿宋_GB2312" w:hAnsi="仿宋"/>
                <w:sz w:val="24"/>
              </w:rPr>
              <w:t>6</w:t>
            </w:r>
          </w:p>
        </w:tc>
        <w:tc>
          <w:tcPr>
            <w:tcW w:w="1890" w:type="dxa"/>
            <w:vAlign w:val="top"/>
          </w:tcPr>
          <w:p w14:paraId="1F829729">
            <w:pPr>
              <w:spacing w:line="600" w:lineRule="exact"/>
            </w:pPr>
            <w:r>
              <w:rPr>
                <w:rFonts w:ascii="仿宋_GB2312" w:hAnsi="仿宋"/>
                <w:sz w:val="24"/>
              </w:rPr>
              <w:t>三明地区</w:t>
            </w:r>
          </w:p>
        </w:tc>
        <w:tc>
          <w:tcPr>
            <w:tcW w:w="1680" w:type="dxa"/>
            <w:vAlign w:val="top"/>
          </w:tcPr>
          <w:p w14:paraId="39A726D3">
            <w:pPr>
              <w:spacing w:line="600" w:lineRule="exact"/>
              <w:jc w:val="center"/>
            </w:pPr>
            <w:r>
              <w:rPr>
                <w:rFonts w:ascii="仿宋_GB2312" w:hAnsi="仿宋"/>
                <w:sz w:val="24"/>
              </w:rPr>
              <w:t>7043.7</w:t>
            </w:r>
          </w:p>
        </w:tc>
        <w:tc>
          <w:tcPr>
            <w:tcW w:w="1501" w:type="dxa"/>
            <w:vAlign w:val="top"/>
          </w:tcPr>
          <w:p w14:paraId="0785291E">
            <w:pPr>
              <w:spacing w:line="600" w:lineRule="exact"/>
              <w:jc w:val="center"/>
            </w:pPr>
            <w:r>
              <w:rPr>
                <w:rFonts w:ascii="仿宋_GB2312" w:hAnsi="仿宋"/>
                <w:sz w:val="24"/>
              </w:rPr>
              <w:t>4.9</w:t>
            </w:r>
          </w:p>
        </w:tc>
      </w:tr>
      <w:tr w14:paraId="263272D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26C406EA">
            <w:pPr>
              <w:spacing w:line="600" w:lineRule="exact"/>
              <w:jc w:val="center"/>
            </w:pPr>
            <w:r>
              <w:rPr>
                <w:rFonts w:ascii="仿宋_GB2312" w:hAnsi="仿宋"/>
                <w:sz w:val="24"/>
              </w:rPr>
              <w:t>7</w:t>
            </w:r>
          </w:p>
        </w:tc>
        <w:tc>
          <w:tcPr>
            <w:tcW w:w="1890" w:type="dxa"/>
            <w:vAlign w:val="top"/>
          </w:tcPr>
          <w:p w14:paraId="27B7CA1A">
            <w:pPr>
              <w:spacing w:line="600" w:lineRule="exact"/>
            </w:pPr>
            <w:r>
              <w:rPr>
                <w:rFonts w:ascii="仿宋_GB2312" w:hAnsi="仿宋"/>
                <w:sz w:val="24"/>
              </w:rPr>
              <w:t>宁德地区</w:t>
            </w:r>
          </w:p>
        </w:tc>
        <w:tc>
          <w:tcPr>
            <w:tcW w:w="1680" w:type="dxa"/>
            <w:vAlign w:val="top"/>
          </w:tcPr>
          <w:p w14:paraId="023CF553">
            <w:pPr>
              <w:spacing w:line="600" w:lineRule="exact"/>
              <w:jc w:val="center"/>
            </w:pPr>
            <w:r>
              <w:rPr>
                <w:rFonts w:ascii="仿宋_GB2312" w:hAnsi="仿宋"/>
                <w:sz w:val="24"/>
              </w:rPr>
              <w:t>6598.0</w:t>
            </w:r>
          </w:p>
        </w:tc>
        <w:tc>
          <w:tcPr>
            <w:tcW w:w="1501" w:type="dxa"/>
            <w:vAlign w:val="top"/>
          </w:tcPr>
          <w:p w14:paraId="15BACC8A">
            <w:pPr>
              <w:spacing w:line="600" w:lineRule="exact"/>
              <w:jc w:val="center"/>
            </w:pPr>
            <w:r>
              <w:rPr>
                <w:rFonts w:ascii="仿宋_GB2312" w:hAnsi="仿宋"/>
                <w:sz w:val="24"/>
              </w:rPr>
              <w:t>4.6</w:t>
            </w:r>
          </w:p>
        </w:tc>
      </w:tr>
      <w:tr w14:paraId="4379CF1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4F90C550">
            <w:pPr>
              <w:spacing w:line="600" w:lineRule="exact"/>
              <w:jc w:val="center"/>
            </w:pPr>
            <w:r>
              <w:rPr>
                <w:rFonts w:ascii="仿宋_GB2312" w:hAnsi="仿宋"/>
                <w:sz w:val="24"/>
              </w:rPr>
              <w:t>8</w:t>
            </w:r>
          </w:p>
        </w:tc>
        <w:tc>
          <w:tcPr>
            <w:tcW w:w="1890" w:type="dxa"/>
            <w:vAlign w:val="top"/>
          </w:tcPr>
          <w:p w14:paraId="08D191B1">
            <w:pPr>
              <w:spacing w:line="600" w:lineRule="exact"/>
            </w:pPr>
            <w:r>
              <w:rPr>
                <w:rFonts w:ascii="仿宋_GB2312" w:hAnsi="仿宋"/>
                <w:sz w:val="24"/>
              </w:rPr>
              <w:t>南平地区</w:t>
            </w:r>
          </w:p>
        </w:tc>
        <w:tc>
          <w:tcPr>
            <w:tcW w:w="1680" w:type="dxa"/>
            <w:vAlign w:val="top"/>
          </w:tcPr>
          <w:p w14:paraId="794BD9B7">
            <w:pPr>
              <w:spacing w:line="600" w:lineRule="exact"/>
              <w:jc w:val="center"/>
            </w:pPr>
            <w:r>
              <w:rPr>
                <w:rFonts w:ascii="仿宋_GB2312" w:hAnsi="仿宋"/>
                <w:sz w:val="24"/>
              </w:rPr>
              <w:t>5434.6</w:t>
            </w:r>
          </w:p>
        </w:tc>
        <w:tc>
          <w:tcPr>
            <w:tcW w:w="1501" w:type="dxa"/>
            <w:vAlign w:val="top"/>
          </w:tcPr>
          <w:p w14:paraId="110BB536">
            <w:pPr>
              <w:spacing w:line="600" w:lineRule="exact"/>
              <w:jc w:val="center"/>
            </w:pPr>
            <w:r>
              <w:rPr>
                <w:rFonts w:ascii="仿宋_GB2312" w:hAnsi="仿宋"/>
                <w:sz w:val="24"/>
              </w:rPr>
              <w:t>3.8</w:t>
            </w:r>
          </w:p>
        </w:tc>
      </w:tr>
      <w:tr w14:paraId="7D56C7C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7ABEE76B">
            <w:pPr>
              <w:spacing w:line="600" w:lineRule="exact"/>
              <w:jc w:val="center"/>
            </w:pPr>
            <w:r>
              <w:rPr>
                <w:rFonts w:ascii="仿宋_GB2312" w:hAnsi="仿宋"/>
                <w:sz w:val="24"/>
              </w:rPr>
              <w:t>9</w:t>
            </w:r>
          </w:p>
        </w:tc>
        <w:tc>
          <w:tcPr>
            <w:tcW w:w="1890" w:type="dxa"/>
            <w:vAlign w:val="top"/>
          </w:tcPr>
          <w:p w14:paraId="7663088D">
            <w:pPr>
              <w:spacing w:line="600" w:lineRule="exact"/>
            </w:pPr>
            <w:r>
              <w:rPr>
                <w:rFonts w:ascii="仿宋_GB2312" w:hAnsi="仿宋"/>
                <w:sz w:val="24"/>
              </w:rPr>
              <w:t>龙岩地区</w:t>
            </w:r>
          </w:p>
        </w:tc>
        <w:tc>
          <w:tcPr>
            <w:tcW w:w="1680" w:type="dxa"/>
            <w:vAlign w:val="top"/>
          </w:tcPr>
          <w:p w14:paraId="7D4985E8">
            <w:pPr>
              <w:spacing w:line="600" w:lineRule="exact"/>
              <w:jc w:val="center"/>
            </w:pPr>
            <w:r>
              <w:rPr>
                <w:rFonts w:ascii="仿宋_GB2312" w:hAnsi="仿宋"/>
                <w:sz w:val="24"/>
              </w:rPr>
              <w:t>6276.2</w:t>
            </w:r>
          </w:p>
        </w:tc>
        <w:tc>
          <w:tcPr>
            <w:tcW w:w="1501" w:type="dxa"/>
            <w:vAlign w:val="top"/>
          </w:tcPr>
          <w:p w14:paraId="73E59D79">
            <w:pPr>
              <w:spacing w:line="600" w:lineRule="exact"/>
              <w:jc w:val="center"/>
            </w:pPr>
            <w:r>
              <w:rPr>
                <w:rFonts w:ascii="仿宋_GB2312" w:hAnsi="仿宋"/>
                <w:sz w:val="24"/>
              </w:rPr>
              <w:t>4.4</w:t>
            </w:r>
          </w:p>
        </w:tc>
      </w:tr>
      <w:tr w14:paraId="039A079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19B60435">
            <w:pPr>
              <w:spacing w:line="600" w:lineRule="exact"/>
              <w:jc w:val="center"/>
            </w:pPr>
            <w:r>
              <w:rPr>
                <w:rFonts w:ascii="仿宋_GB2312" w:hAnsi="仿宋"/>
                <w:sz w:val="24"/>
              </w:rPr>
              <w:t>10</w:t>
            </w:r>
          </w:p>
        </w:tc>
        <w:tc>
          <w:tcPr>
            <w:tcW w:w="1890" w:type="dxa"/>
            <w:vAlign w:val="top"/>
          </w:tcPr>
          <w:p w14:paraId="32E36D75">
            <w:pPr>
              <w:spacing w:line="600" w:lineRule="exact"/>
            </w:pPr>
            <w:r>
              <w:rPr>
                <w:rFonts w:ascii="仿宋_GB2312" w:hAnsi="仿宋"/>
                <w:sz w:val="24"/>
              </w:rPr>
              <w:t>平潭综合实验区</w:t>
            </w:r>
          </w:p>
        </w:tc>
        <w:tc>
          <w:tcPr>
            <w:tcW w:w="1680" w:type="dxa"/>
            <w:vAlign w:val="top"/>
          </w:tcPr>
          <w:p w14:paraId="24FD1102">
            <w:pPr>
              <w:spacing w:line="600" w:lineRule="exact"/>
              <w:jc w:val="center"/>
            </w:pPr>
            <w:r>
              <w:rPr>
                <w:rFonts w:ascii="仿宋_GB2312" w:hAnsi="仿宋"/>
                <w:sz w:val="24"/>
              </w:rPr>
              <w:t>2560</w:t>
            </w:r>
          </w:p>
        </w:tc>
        <w:tc>
          <w:tcPr>
            <w:tcW w:w="1501" w:type="dxa"/>
            <w:vAlign w:val="top"/>
          </w:tcPr>
          <w:p w14:paraId="2EB64383">
            <w:pPr>
              <w:spacing w:line="600" w:lineRule="exact"/>
              <w:jc w:val="center"/>
            </w:pPr>
            <w:r>
              <w:rPr>
                <w:rFonts w:ascii="仿宋_GB2312" w:hAnsi="仿宋"/>
                <w:sz w:val="24"/>
              </w:rPr>
              <w:t>1.81</w:t>
            </w:r>
          </w:p>
        </w:tc>
      </w:tr>
      <w:tr w14:paraId="2967106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08938727">
            <w:pPr>
              <w:spacing w:line="600" w:lineRule="exact"/>
              <w:jc w:val="center"/>
            </w:pPr>
            <w:r>
              <w:rPr>
                <w:rFonts w:ascii="仿宋_GB2312" w:hAnsi="仿宋"/>
                <w:sz w:val="24"/>
              </w:rPr>
              <w:t>10</w:t>
            </w:r>
          </w:p>
        </w:tc>
        <w:tc>
          <w:tcPr>
            <w:tcW w:w="1890" w:type="dxa"/>
            <w:vAlign w:val="top"/>
          </w:tcPr>
          <w:p w14:paraId="2D1A3743">
            <w:pPr>
              <w:spacing w:line="600" w:lineRule="exact"/>
            </w:pPr>
            <w:r>
              <w:rPr>
                <w:rFonts w:ascii="仿宋_GB2312" w:hAnsi="仿宋"/>
                <w:sz w:val="24"/>
              </w:rPr>
              <w:t>汽车</w:t>
            </w:r>
          </w:p>
        </w:tc>
        <w:tc>
          <w:tcPr>
            <w:tcW w:w="1680" w:type="dxa"/>
            <w:vAlign w:val="top"/>
          </w:tcPr>
          <w:p w14:paraId="3D009394">
            <w:pPr>
              <w:spacing w:line="600" w:lineRule="exact"/>
              <w:jc w:val="center"/>
            </w:pPr>
            <w:r>
              <w:rPr>
                <w:rFonts w:ascii="仿宋_GB2312" w:hAnsi="仿宋"/>
                <w:sz w:val="24"/>
              </w:rPr>
              <w:t>31814.9</w:t>
            </w:r>
          </w:p>
        </w:tc>
        <w:tc>
          <w:tcPr>
            <w:tcW w:w="1501" w:type="dxa"/>
            <w:vAlign w:val="top"/>
          </w:tcPr>
          <w:p w14:paraId="2E2995BB">
            <w:pPr>
              <w:spacing w:line="600" w:lineRule="exact"/>
              <w:jc w:val="center"/>
            </w:pPr>
            <w:r>
              <w:rPr>
                <w:rFonts w:ascii="仿宋_GB2312" w:hAnsi="仿宋"/>
                <w:sz w:val="24"/>
              </w:rPr>
              <w:t>22.1</w:t>
            </w:r>
          </w:p>
        </w:tc>
      </w:tr>
      <w:tr w14:paraId="6F8E1F6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39D4BE3D">
            <w:pPr>
              <w:spacing w:line="600" w:lineRule="exact"/>
              <w:jc w:val="center"/>
            </w:pPr>
            <w:r>
              <w:rPr>
                <w:rFonts w:ascii="仿宋_GB2312" w:hAnsi="仿宋"/>
                <w:sz w:val="24"/>
              </w:rPr>
              <w:t>11</w:t>
            </w:r>
          </w:p>
        </w:tc>
        <w:tc>
          <w:tcPr>
            <w:tcW w:w="1890" w:type="dxa"/>
            <w:vAlign w:val="top"/>
          </w:tcPr>
          <w:p w14:paraId="391D8D24">
            <w:pPr>
              <w:spacing w:line="600" w:lineRule="exact"/>
            </w:pPr>
            <w:r>
              <w:rPr>
                <w:rFonts w:ascii="仿宋_GB2312" w:hAnsi="仿宋"/>
                <w:sz w:val="24"/>
              </w:rPr>
              <w:t>工业</w:t>
            </w:r>
          </w:p>
        </w:tc>
        <w:tc>
          <w:tcPr>
            <w:tcW w:w="1680" w:type="dxa"/>
            <w:vAlign w:val="top"/>
          </w:tcPr>
          <w:p w14:paraId="4DFC3DD2">
            <w:pPr>
              <w:spacing w:line="600" w:lineRule="exact"/>
              <w:jc w:val="center"/>
            </w:pPr>
            <w:r>
              <w:rPr>
                <w:rFonts w:ascii="仿宋_GB2312" w:hAnsi="仿宋"/>
                <w:sz w:val="24"/>
              </w:rPr>
              <w:t>485049.2</w:t>
            </w:r>
          </w:p>
        </w:tc>
        <w:tc>
          <w:tcPr>
            <w:tcW w:w="1501" w:type="dxa"/>
            <w:vAlign w:val="top"/>
          </w:tcPr>
          <w:p w14:paraId="3C679370">
            <w:pPr>
              <w:spacing w:line="600" w:lineRule="exact"/>
              <w:jc w:val="center"/>
            </w:pPr>
            <w:r>
              <w:rPr>
                <w:rFonts w:ascii="仿宋_GB2312" w:hAnsi="仿宋"/>
                <w:sz w:val="24"/>
              </w:rPr>
              <w:t>337.1</w:t>
            </w:r>
          </w:p>
        </w:tc>
      </w:tr>
      <w:tr w14:paraId="14F930C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791" w:type="dxa"/>
            <w:vAlign w:val="top"/>
          </w:tcPr>
          <w:p w14:paraId="5F93B303">
            <w:pPr>
              <w:spacing w:line="600" w:lineRule="exact"/>
              <w:jc w:val="center"/>
            </w:pPr>
            <w:r>
              <w:rPr>
                <w:rFonts w:ascii="仿宋_GB2312" w:hAnsi="仿宋"/>
                <w:sz w:val="24"/>
              </w:rPr>
              <w:t>12</w:t>
            </w:r>
          </w:p>
        </w:tc>
        <w:tc>
          <w:tcPr>
            <w:tcW w:w="1890" w:type="dxa"/>
            <w:vAlign w:val="top"/>
          </w:tcPr>
          <w:p w14:paraId="04D01E8F">
            <w:pPr>
              <w:spacing w:line="600" w:lineRule="exact"/>
            </w:pPr>
            <w:r>
              <w:rPr>
                <w:rFonts w:ascii="仿宋_GB2312" w:hAnsi="仿宋"/>
                <w:sz w:val="24"/>
              </w:rPr>
              <w:t>合计</w:t>
            </w:r>
          </w:p>
        </w:tc>
        <w:tc>
          <w:tcPr>
            <w:tcW w:w="1680" w:type="dxa"/>
            <w:vAlign w:val="top"/>
          </w:tcPr>
          <w:p w14:paraId="383F3132">
            <w:pPr>
              <w:spacing w:line="600" w:lineRule="exact"/>
              <w:jc w:val="center"/>
            </w:pPr>
            <w:r>
              <w:rPr>
                <w:rFonts w:ascii="仿宋_GB2312" w:hAnsi="仿宋"/>
                <w:sz w:val="24"/>
              </w:rPr>
              <w:t>609779.3</w:t>
            </w:r>
          </w:p>
        </w:tc>
        <w:tc>
          <w:tcPr>
            <w:tcW w:w="1501" w:type="dxa"/>
            <w:vAlign w:val="top"/>
          </w:tcPr>
          <w:p w14:paraId="7A7D66E2">
            <w:pPr>
              <w:spacing w:line="600" w:lineRule="exact"/>
              <w:jc w:val="center"/>
            </w:pPr>
            <w:r>
              <w:rPr>
                <w:rFonts w:ascii="仿宋_GB2312" w:hAnsi="仿宋"/>
                <w:sz w:val="24"/>
              </w:rPr>
              <w:t>423.8</w:t>
            </w:r>
          </w:p>
        </w:tc>
      </w:tr>
    </w:tbl>
    <w:p w14:paraId="2830493B">
      <w:pPr>
        <w:spacing w:line="600" w:lineRule="exact"/>
        <w:ind w:firstLine="397"/>
        <w:rPr>
          <w:rFonts w:ascii="仿宋_GB2312" w:hAnsi="仿宋"/>
          <w:sz w:val="29"/>
        </w:rPr>
      </w:pP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注：不包括电厂的用气量。</w:t>
      </w:r>
    </w:p>
    <w:p w14:paraId="0A31874F">
      <w:pPr>
        <w:spacing w:line="600" w:lineRule="exact"/>
        <w:ind w:firstLine="548"/>
        <w:rPr>
          <w:rFonts w:ascii="仿宋_GB2312" w:hAnsi="仿宋"/>
          <w:sz w:val="29"/>
        </w:rPr>
      </w:pPr>
    </w:p>
    <w:p w14:paraId="5541B8D4">
      <w:r>
        <w:rPr>
          <w:rFonts w:ascii="仿宋_GB2312" w:hAnsi="仿宋"/>
          <w:sz w:val="29"/>
        </w:rPr>
        <w:t>（六）LNG汽车加气需求</w:t>
      </w:r>
    </w:p>
    <w:p w14:paraId="1B28562B">
      <w:pPr>
        <w:spacing w:line="600" w:lineRule="exact"/>
        <w:ind w:firstLine="548"/>
      </w:pPr>
      <w:r>
        <w:rPr>
          <w:rFonts w:ascii="仿宋_GB2312" w:hAnsi="仿宋"/>
          <w:sz w:val="29"/>
        </w:rPr>
        <w:t>根据各城市天然气汽车的日行里程及耗油量，预测2015年LNG天然气汽车的用气量见表5-5。</w:t>
      </w:r>
    </w:p>
    <w:p w14:paraId="6FD66AAA">
      <w:pPr>
        <w:spacing w:line="600" w:lineRule="exact"/>
        <w:ind w:firstLine="548"/>
      </w:pPr>
      <w:r>
        <w:rPr>
          <w:rFonts w:ascii="仿宋_GB2312" w:hAnsi="仿宋"/>
          <w:sz w:val="29"/>
        </w:rPr>
        <w:t>2015年，天然气需求为131473万立方米/年；折合93万吨/年。</w:t>
      </w:r>
    </w:p>
    <w:p w14:paraId="2E5DDF92">
      <w:pPr>
        <w:jc w:val="center"/>
      </w:pPr>
      <w:r>
        <w:rPr>
          <w:rFonts w:ascii="仿宋_GB2312" w:hAnsi="仿宋"/>
          <w:szCs w:val="21"/>
        </w:rPr>
        <w:t xml:space="preserve">表5-5     </w:t>
      </w:r>
      <w:r>
        <w:rPr>
          <w:rFonts w:ascii="仿宋_GB2312" w:hAnsi="仿宋"/>
          <w:sz w:val="26"/>
          <w:szCs w:val="26"/>
        </w:rPr>
        <w:t xml:space="preserve"> </w:t>
      </w:r>
      <w:r>
        <w:rPr>
          <w:rFonts w:ascii="仿宋_GB2312" w:hAnsi="仿宋"/>
          <w:sz w:val="24"/>
        </w:rPr>
        <w:t>2015 年LNG汽车需用气量</w:t>
      </w:r>
      <w:r>
        <w:rPr>
          <w:rFonts w:ascii="仿宋_GB2312" w:hAnsi="仿宋"/>
          <w:sz w:val="26"/>
          <w:szCs w:val="26"/>
        </w:rPr>
        <w:t xml:space="preserve"> （</w:t>
      </w:r>
      <w:r>
        <w:rPr>
          <w:rFonts w:ascii="仿宋_GB2312" w:hAnsi="仿宋"/>
          <w:szCs w:val="21"/>
        </w:rPr>
        <w:t>单位：万m</w:t>
      </w:r>
      <w:r>
        <w:rPr>
          <w:rFonts w:ascii="仿宋_GB2312" w:hAnsi="仿宋"/>
          <w:szCs w:val="21"/>
          <w:vertAlign w:val="superscript"/>
        </w:rPr>
        <w:t>3</w:t>
      </w:r>
      <w:r>
        <w:rPr>
          <w:rFonts w:ascii="仿宋_GB2312" w:hAnsi="仿宋"/>
          <w:szCs w:val="21"/>
        </w:rPr>
        <w:t>/日）</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1267"/>
        <w:gridCol w:w="1187"/>
        <w:gridCol w:w="1200"/>
        <w:gridCol w:w="1415"/>
        <w:gridCol w:w="1364"/>
        <w:gridCol w:w="1079"/>
      </w:tblGrid>
      <w:tr w14:paraId="1B5E864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25" w:hRule="atLeast"/>
          <w:jc w:val="center"/>
        </w:trPr>
        <w:tc>
          <w:tcPr>
            <w:tcW w:w="1267" w:type="dxa"/>
            <w:vMerge w:val="restart"/>
            <w:vAlign w:val="center"/>
          </w:tcPr>
          <w:p w14:paraId="638DC983">
            <w:pPr>
              <w:jc w:val="center"/>
            </w:pPr>
            <w:r>
              <w:rPr>
                <w:rFonts w:ascii="仿宋_GB2312" w:hAnsi="仿宋"/>
                <w:sz w:val="24"/>
              </w:rPr>
              <w:t>城市</w:t>
            </w:r>
          </w:p>
        </w:tc>
        <w:tc>
          <w:tcPr>
            <w:tcW w:w="6245" w:type="dxa"/>
            <w:gridSpan w:val="5"/>
            <w:vAlign w:val="top"/>
          </w:tcPr>
          <w:p w14:paraId="6AEA2145">
            <w:pPr>
              <w:jc w:val="center"/>
            </w:pPr>
            <w:r>
              <w:rPr>
                <w:rFonts w:ascii="仿宋_GB2312" w:hAnsi="仿宋"/>
                <w:sz w:val="24"/>
              </w:rPr>
              <w:t>2015年</w:t>
            </w:r>
          </w:p>
        </w:tc>
      </w:tr>
      <w:tr w14:paraId="705910C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vMerge w:val="continue"/>
          </w:tcPr>
          <w:p w14:paraId="70212C91"/>
        </w:tc>
        <w:tc>
          <w:tcPr>
            <w:tcW w:w="1187" w:type="dxa"/>
            <w:vAlign w:val="top"/>
          </w:tcPr>
          <w:p w14:paraId="147A9C34">
            <w:pPr>
              <w:jc w:val="center"/>
            </w:pPr>
            <w:r>
              <w:rPr>
                <w:rFonts w:ascii="仿宋_GB2312" w:hAnsi="仿宋"/>
                <w:szCs w:val="21"/>
              </w:rPr>
              <w:t>公交车</w:t>
            </w:r>
          </w:p>
        </w:tc>
        <w:tc>
          <w:tcPr>
            <w:tcW w:w="1200" w:type="dxa"/>
            <w:vAlign w:val="top"/>
          </w:tcPr>
          <w:p w14:paraId="3A0E6C22">
            <w:pPr>
              <w:jc w:val="center"/>
            </w:pPr>
            <w:r>
              <w:rPr>
                <w:rFonts w:ascii="仿宋_GB2312" w:hAnsi="仿宋"/>
                <w:szCs w:val="21"/>
              </w:rPr>
              <w:t>出租车</w:t>
            </w:r>
          </w:p>
        </w:tc>
        <w:tc>
          <w:tcPr>
            <w:tcW w:w="1415" w:type="dxa"/>
            <w:vAlign w:val="top"/>
          </w:tcPr>
          <w:p w14:paraId="088EE5E1">
            <w:pPr>
              <w:jc w:val="center"/>
            </w:pPr>
            <w:r>
              <w:rPr>
                <w:rFonts w:ascii="仿宋_GB2312" w:hAnsi="仿宋"/>
                <w:szCs w:val="21"/>
              </w:rPr>
              <w:t>长途车</w:t>
            </w:r>
          </w:p>
        </w:tc>
        <w:tc>
          <w:tcPr>
            <w:tcW w:w="1364" w:type="dxa"/>
            <w:vAlign w:val="top"/>
          </w:tcPr>
          <w:p w14:paraId="0C3B2A5C">
            <w:pPr>
              <w:jc w:val="center"/>
            </w:pPr>
            <w:r>
              <w:rPr>
                <w:rFonts w:ascii="仿宋_GB2312" w:hAnsi="仿宋"/>
                <w:szCs w:val="21"/>
              </w:rPr>
              <w:t>专用载货车</w:t>
            </w:r>
          </w:p>
        </w:tc>
        <w:tc>
          <w:tcPr>
            <w:tcW w:w="1079" w:type="dxa"/>
            <w:vAlign w:val="top"/>
          </w:tcPr>
          <w:p w14:paraId="3C96BE54">
            <w:pPr>
              <w:jc w:val="center"/>
            </w:pPr>
            <w:r>
              <w:rPr>
                <w:rFonts w:ascii="仿宋_GB2312" w:hAnsi="仿宋"/>
                <w:szCs w:val="21"/>
              </w:rPr>
              <w:t>小计</w:t>
            </w:r>
          </w:p>
        </w:tc>
      </w:tr>
      <w:tr w14:paraId="1DE0982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51B4F8BB">
            <w:pPr>
              <w:jc w:val="left"/>
            </w:pPr>
            <w:r>
              <w:rPr>
                <w:rFonts w:ascii="宋体" w:hAnsi="宋体"/>
                <w:b/>
                <w:sz w:val="24"/>
              </w:rPr>
              <w:t>福州市</w:t>
            </w:r>
          </w:p>
        </w:tc>
        <w:tc>
          <w:tcPr>
            <w:tcW w:w="1187" w:type="dxa"/>
            <w:vAlign w:val="top"/>
          </w:tcPr>
          <w:p w14:paraId="52A8B645">
            <w:pPr>
              <w:jc w:val="left"/>
            </w:pPr>
            <w:r>
              <w:rPr>
                <w:rFonts w:ascii="宋体" w:hAnsi="宋体"/>
                <w:b/>
                <w:sz w:val="24"/>
              </w:rPr>
              <w:t>24.0</w:t>
            </w:r>
          </w:p>
        </w:tc>
        <w:tc>
          <w:tcPr>
            <w:tcW w:w="1200" w:type="dxa"/>
            <w:vAlign w:val="top"/>
          </w:tcPr>
          <w:p w14:paraId="0CF84987">
            <w:pPr>
              <w:jc w:val="left"/>
            </w:pPr>
            <w:r>
              <w:rPr>
                <w:rFonts w:ascii="宋体" w:hAnsi="宋体"/>
                <w:b/>
                <w:sz w:val="24"/>
              </w:rPr>
              <w:t>12.0</w:t>
            </w:r>
          </w:p>
        </w:tc>
        <w:tc>
          <w:tcPr>
            <w:tcW w:w="1415" w:type="dxa"/>
            <w:vAlign w:val="top"/>
          </w:tcPr>
          <w:p w14:paraId="7EF005BC">
            <w:pPr>
              <w:jc w:val="left"/>
            </w:pPr>
            <w:r>
              <w:rPr>
                <w:rFonts w:ascii="宋体" w:hAnsi="宋体"/>
                <w:b/>
                <w:sz w:val="24"/>
              </w:rPr>
              <w:t>38.6</w:t>
            </w:r>
          </w:p>
        </w:tc>
        <w:tc>
          <w:tcPr>
            <w:tcW w:w="1364" w:type="dxa"/>
            <w:vAlign w:val="top"/>
          </w:tcPr>
          <w:p w14:paraId="6672FB7B">
            <w:pPr>
              <w:jc w:val="left"/>
            </w:pPr>
            <w:r>
              <w:rPr>
                <w:rFonts w:ascii="宋体" w:hAnsi="宋体"/>
                <w:b/>
                <w:sz w:val="24"/>
              </w:rPr>
              <w:t>6.2</w:t>
            </w:r>
          </w:p>
        </w:tc>
        <w:tc>
          <w:tcPr>
            <w:tcW w:w="1079" w:type="dxa"/>
            <w:vAlign w:val="top"/>
          </w:tcPr>
          <w:p w14:paraId="4E7FCB9A">
            <w:pPr>
              <w:jc w:val="left"/>
            </w:pPr>
            <w:r>
              <w:rPr>
                <w:rFonts w:ascii="宋体" w:hAnsi="宋体"/>
                <w:b/>
                <w:sz w:val="24"/>
              </w:rPr>
              <w:t>80.8</w:t>
            </w:r>
          </w:p>
        </w:tc>
      </w:tr>
      <w:tr w14:paraId="7F646DE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13" w:hRule="atLeast"/>
          <w:jc w:val="center"/>
        </w:trPr>
        <w:tc>
          <w:tcPr>
            <w:tcW w:w="1267" w:type="dxa"/>
            <w:vAlign w:val="top"/>
          </w:tcPr>
          <w:p w14:paraId="53566016">
            <w:pPr>
              <w:jc w:val="left"/>
            </w:pPr>
            <w:r>
              <w:rPr>
                <w:rFonts w:ascii="仿宋_GB2312" w:hAnsi="仿宋"/>
                <w:sz w:val="24"/>
              </w:rPr>
              <w:t>市区</w:t>
            </w:r>
          </w:p>
        </w:tc>
        <w:tc>
          <w:tcPr>
            <w:tcW w:w="1187" w:type="dxa"/>
            <w:vAlign w:val="top"/>
          </w:tcPr>
          <w:p w14:paraId="2B389CB6">
            <w:pPr>
              <w:jc w:val="left"/>
            </w:pPr>
            <w:r>
              <w:rPr>
                <w:rFonts w:ascii="仿宋_GB2312" w:hAnsi="仿宋"/>
                <w:sz w:val="24"/>
              </w:rPr>
              <w:t>17.5</w:t>
            </w:r>
          </w:p>
        </w:tc>
        <w:tc>
          <w:tcPr>
            <w:tcW w:w="1200" w:type="dxa"/>
            <w:vAlign w:val="top"/>
          </w:tcPr>
          <w:p w14:paraId="7E22EA3C">
            <w:pPr>
              <w:jc w:val="left"/>
            </w:pPr>
            <w:r>
              <w:rPr>
                <w:rFonts w:ascii="仿宋_GB2312" w:hAnsi="仿宋"/>
                <w:sz w:val="24"/>
              </w:rPr>
              <w:t>7.7</w:t>
            </w:r>
          </w:p>
        </w:tc>
        <w:tc>
          <w:tcPr>
            <w:tcW w:w="1415" w:type="dxa"/>
            <w:vAlign w:val="top"/>
          </w:tcPr>
          <w:p w14:paraId="281CD25D">
            <w:pPr>
              <w:jc w:val="left"/>
            </w:pPr>
            <w:r>
              <w:rPr>
                <w:rFonts w:ascii="仿宋_GB2312" w:hAnsi="仿宋"/>
                <w:sz w:val="24"/>
              </w:rPr>
              <w:t>24.5</w:t>
            </w:r>
          </w:p>
        </w:tc>
        <w:tc>
          <w:tcPr>
            <w:tcW w:w="1364" w:type="dxa"/>
            <w:vAlign w:val="top"/>
          </w:tcPr>
          <w:p w14:paraId="71F0E546">
            <w:pPr>
              <w:jc w:val="left"/>
            </w:pPr>
          </w:p>
        </w:tc>
        <w:tc>
          <w:tcPr>
            <w:tcW w:w="1079" w:type="dxa"/>
            <w:vAlign w:val="top"/>
          </w:tcPr>
          <w:p w14:paraId="20AC4889">
            <w:pPr>
              <w:jc w:val="left"/>
            </w:pPr>
            <w:r>
              <w:rPr>
                <w:rFonts w:ascii="仿宋_GB2312" w:hAnsi="仿宋"/>
                <w:sz w:val="24"/>
              </w:rPr>
              <w:t>49.7</w:t>
            </w:r>
          </w:p>
        </w:tc>
      </w:tr>
      <w:tr w14:paraId="4773D24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461CAC18">
            <w:pPr>
              <w:jc w:val="left"/>
            </w:pPr>
            <w:r>
              <w:rPr>
                <w:rFonts w:ascii="仿宋_GB2312" w:hAnsi="仿宋"/>
                <w:sz w:val="24"/>
              </w:rPr>
              <w:t>福清市</w:t>
            </w:r>
          </w:p>
        </w:tc>
        <w:tc>
          <w:tcPr>
            <w:tcW w:w="1187" w:type="dxa"/>
            <w:vAlign w:val="top"/>
          </w:tcPr>
          <w:p w14:paraId="6D31A84C">
            <w:pPr>
              <w:jc w:val="left"/>
            </w:pPr>
            <w:r>
              <w:rPr>
                <w:rFonts w:ascii="仿宋_GB2312" w:hAnsi="仿宋"/>
                <w:sz w:val="24"/>
              </w:rPr>
              <w:t>3.4</w:t>
            </w:r>
          </w:p>
        </w:tc>
        <w:tc>
          <w:tcPr>
            <w:tcW w:w="1200" w:type="dxa"/>
            <w:vAlign w:val="top"/>
          </w:tcPr>
          <w:p w14:paraId="1D939486">
            <w:pPr>
              <w:jc w:val="left"/>
            </w:pPr>
            <w:r>
              <w:rPr>
                <w:rFonts w:ascii="仿宋_GB2312" w:hAnsi="仿宋"/>
                <w:sz w:val="24"/>
              </w:rPr>
              <w:t>2.0</w:t>
            </w:r>
          </w:p>
        </w:tc>
        <w:tc>
          <w:tcPr>
            <w:tcW w:w="1415" w:type="dxa"/>
            <w:vAlign w:val="top"/>
          </w:tcPr>
          <w:p w14:paraId="6B67CE59">
            <w:pPr>
              <w:jc w:val="left"/>
            </w:pPr>
            <w:r>
              <w:rPr>
                <w:rFonts w:ascii="仿宋_GB2312" w:hAnsi="仿宋"/>
                <w:sz w:val="24"/>
              </w:rPr>
              <w:t>6.5</w:t>
            </w:r>
          </w:p>
        </w:tc>
        <w:tc>
          <w:tcPr>
            <w:tcW w:w="1364" w:type="dxa"/>
            <w:vAlign w:val="top"/>
          </w:tcPr>
          <w:p w14:paraId="1C2B04C2">
            <w:pPr>
              <w:jc w:val="left"/>
            </w:pPr>
          </w:p>
        </w:tc>
        <w:tc>
          <w:tcPr>
            <w:tcW w:w="1079" w:type="dxa"/>
            <w:vAlign w:val="top"/>
          </w:tcPr>
          <w:p w14:paraId="52FC3B21">
            <w:pPr>
              <w:jc w:val="left"/>
            </w:pPr>
            <w:r>
              <w:rPr>
                <w:rFonts w:ascii="仿宋_GB2312" w:hAnsi="仿宋"/>
                <w:sz w:val="24"/>
              </w:rPr>
              <w:t>11.9</w:t>
            </w:r>
          </w:p>
        </w:tc>
      </w:tr>
      <w:tr w14:paraId="09AB7B8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4E1396F0">
            <w:pPr>
              <w:jc w:val="left"/>
            </w:pPr>
            <w:r>
              <w:rPr>
                <w:rFonts w:ascii="仿宋_GB2312" w:hAnsi="仿宋"/>
                <w:sz w:val="24"/>
              </w:rPr>
              <w:t>长乐市</w:t>
            </w:r>
          </w:p>
        </w:tc>
        <w:tc>
          <w:tcPr>
            <w:tcW w:w="1187" w:type="dxa"/>
            <w:vAlign w:val="top"/>
          </w:tcPr>
          <w:p w14:paraId="10B42339">
            <w:pPr>
              <w:jc w:val="left"/>
            </w:pPr>
            <w:r>
              <w:rPr>
                <w:rFonts w:ascii="仿宋_GB2312" w:hAnsi="仿宋"/>
                <w:sz w:val="24"/>
              </w:rPr>
              <w:t>1.1</w:t>
            </w:r>
          </w:p>
        </w:tc>
        <w:tc>
          <w:tcPr>
            <w:tcW w:w="1200" w:type="dxa"/>
            <w:vAlign w:val="top"/>
          </w:tcPr>
          <w:p w14:paraId="34F68453">
            <w:pPr>
              <w:jc w:val="left"/>
            </w:pPr>
            <w:r>
              <w:rPr>
                <w:rFonts w:ascii="仿宋_GB2312" w:hAnsi="仿宋"/>
                <w:sz w:val="24"/>
              </w:rPr>
              <w:t>0.8</w:t>
            </w:r>
          </w:p>
        </w:tc>
        <w:tc>
          <w:tcPr>
            <w:tcW w:w="1415" w:type="dxa"/>
            <w:vAlign w:val="top"/>
          </w:tcPr>
          <w:p w14:paraId="5EC60555">
            <w:pPr>
              <w:jc w:val="left"/>
            </w:pPr>
            <w:r>
              <w:rPr>
                <w:rFonts w:ascii="仿宋_GB2312" w:hAnsi="仿宋"/>
                <w:sz w:val="24"/>
              </w:rPr>
              <w:t>4.9</w:t>
            </w:r>
          </w:p>
        </w:tc>
        <w:tc>
          <w:tcPr>
            <w:tcW w:w="1364" w:type="dxa"/>
            <w:vAlign w:val="top"/>
          </w:tcPr>
          <w:p w14:paraId="61126F68">
            <w:pPr>
              <w:jc w:val="left"/>
            </w:pPr>
          </w:p>
        </w:tc>
        <w:tc>
          <w:tcPr>
            <w:tcW w:w="1079" w:type="dxa"/>
            <w:vAlign w:val="top"/>
          </w:tcPr>
          <w:p w14:paraId="7BBC2E28">
            <w:pPr>
              <w:jc w:val="left"/>
            </w:pPr>
            <w:r>
              <w:rPr>
                <w:rFonts w:ascii="仿宋_GB2312" w:hAnsi="仿宋"/>
                <w:sz w:val="24"/>
              </w:rPr>
              <w:t>6.8</w:t>
            </w:r>
          </w:p>
        </w:tc>
      </w:tr>
      <w:tr w14:paraId="7DD842D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52E5D1D1">
            <w:pPr>
              <w:jc w:val="left"/>
            </w:pPr>
            <w:r>
              <w:rPr>
                <w:rFonts w:ascii="仿宋_GB2312" w:hAnsi="仿宋"/>
                <w:sz w:val="24"/>
              </w:rPr>
              <w:t>闽侯县</w:t>
            </w:r>
          </w:p>
        </w:tc>
        <w:tc>
          <w:tcPr>
            <w:tcW w:w="1187" w:type="dxa"/>
            <w:vAlign w:val="top"/>
          </w:tcPr>
          <w:p w14:paraId="1703DF01">
            <w:pPr>
              <w:jc w:val="left"/>
            </w:pPr>
            <w:r>
              <w:rPr>
                <w:rFonts w:ascii="仿宋_GB2312" w:hAnsi="仿宋"/>
                <w:sz w:val="24"/>
              </w:rPr>
              <w:t>0.7</w:t>
            </w:r>
          </w:p>
        </w:tc>
        <w:tc>
          <w:tcPr>
            <w:tcW w:w="1200" w:type="dxa"/>
            <w:vAlign w:val="top"/>
          </w:tcPr>
          <w:p w14:paraId="464BDED3">
            <w:pPr>
              <w:jc w:val="left"/>
            </w:pPr>
            <w:r>
              <w:rPr>
                <w:rFonts w:ascii="仿宋_GB2312" w:hAnsi="仿宋"/>
                <w:sz w:val="24"/>
              </w:rPr>
              <w:t>0.6</w:t>
            </w:r>
          </w:p>
        </w:tc>
        <w:tc>
          <w:tcPr>
            <w:tcW w:w="1415" w:type="dxa"/>
            <w:vAlign w:val="top"/>
          </w:tcPr>
          <w:p w14:paraId="7F33B803">
            <w:pPr>
              <w:jc w:val="left"/>
            </w:pPr>
            <w:r>
              <w:rPr>
                <w:rFonts w:ascii="仿宋_GB2312" w:hAnsi="仿宋"/>
                <w:sz w:val="24"/>
              </w:rPr>
              <w:t>0.0</w:t>
            </w:r>
          </w:p>
        </w:tc>
        <w:tc>
          <w:tcPr>
            <w:tcW w:w="1364" w:type="dxa"/>
            <w:vAlign w:val="top"/>
          </w:tcPr>
          <w:p w14:paraId="29508B77">
            <w:pPr>
              <w:jc w:val="left"/>
            </w:pPr>
          </w:p>
        </w:tc>
        <w:tc>
          <w:tcPr>
            <w:tcW w:w="1079" w:type="dxa"/>
            <w:vAlign w:val="top"/>
          </w:tcPr>
          <w:p w14:paraId="7A2AEAC2">
            <w:pPr>
              <w:jc w:val="left"/>
            </w:pPr>
            <w:r>
              <w:rPr>
                <w:rFonts w:ascii="仿宋_GB2312" w:hAnsi="仿宋"/>
                <w:sz w:val="24"/>
              </w:rPr>
              <w:t>1.3</w:t>
            </w:r>
          </w:p>
        </w:tc>
      </w:tr>
      <w:tr w14:paraId="1B63CD2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46E5B7D6">
            <w:pPr>
              <w:jc w:val="left"/>
            </w:pPr>
            <w:r>
              <w:rPr>
                <w:rFonts w:ascii="仿宋_GB2312" w:hAnsi="仿宋"/>
                <w:sz w:val="24"/>
              </w:rPr>
              <w:t>连江县</w:t>
            </w:r>
          </w:p>
        </w:tc>
        <w:tc>
          <w:tcPr>
            <w:tcW w:w="1187" w:type="dxa"/>
            <w:vAlign w:val="top"/>
          </w:tcPr>
          <w:p w14:paraId="1A824719">
            <w:pPr>
              <w:jc w:val="left"/>
            </w:pPr>
            <w:r>
              <w:rPr>
                <w:rFonts w:ascii="仿宋_GB2312" w:hAnsi="仿宋"/>
                <w:sz w:val="24"/>
              </w:rPr>
              <w:t>0.6</w:t>
            </w:r>
          </w:p>
        </w:tc>
        <w:tc>
          <w:tcPr>
            <w:tcW w:w="1200" w:type="dxa"/>
            <w:vAlign w:val="top"/>
          </w:tcPr>
          <w:p w14:paraId="6A17EF9B">
            <w:pPr>
              <w:jc w:val="left"/>
            </w:pPr>
            <w:r>
              <w:rPr>
                <w:rFonts w:ascii="仿宋_GB2312" w:hAnsi="仿宋"/>
                <w:sz w:val="24"/>
              </w:rPr>
              <w:t>0.5</w:t>
            </w:r>
          </w:p>
        </w:tc>
        <w:tc>
          <w:tcPr>
            <w:tcW w:w="1415" w:type="dxa"/>
            <w:vAlign w:val="top"/>
          </w:tcPr>
          <w:p w14:paraId="47180A14">
            <w:pPr>
              <w:jc w:val="left"/>
            </w:pPr>
            <w:r>
              <w:rPr>
                <w:rFonts w:ascii="仿宋_GB2312" w:hAnsi="仿宋"/>
                <w:sz w:val="24"/>
              </w:rPr>
              <w:t>1.7</w:t>
            </w:r>
          </w:p>
        </w:tc>
        <w:tc>
          <w:tcPr>
            <w:tcW w:w="1364" w:type="dxa"/>
            <w:vAlign w:val="top"/>
          </w:tcPr>
          <w:p w14:paraId="1E26B552">
            <w:pPr>
              <w:jc w:val="left"/>
            </w:pPr>
          </w:p>
        </w:tc>
        <w:tc>
          <w:tcPr>
            <w:tcW w:w="1079" w:type="dxa"/>
            <w:vAlign w:val="top"/>
          </w:tcPr>
          <w:p w14:paraId="068D2B5B">
            <w:pPr>
              <w:jc w:val="left"/>
            </w:pPr>
            <w:r>
              <w:rPr>
                <w:rFonts w:ascii="仿宋_GB2312" w:hAnsi="仿宋"/>
                <w:sz w:val="24"/>
              </w:rPr>
              <w:t>2.8</w:t>
            </w:r>
          </w:p>
        </w:tc>
      </w:tr>
      <w:tr w14:paraId="7209578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2DB2B3B0">
            <w:pPr>
              <w:jc w:val="left"/>
            </w:pPr>
            <w:r>
              <w:rPr>
                <w:rFonts w:ascii="仿宋_GB2312" w:hAnsi="仿宋"/>
                <w:sz w:val="24"/>
              </w:rPr>
              <w:t>罗源县</w:t>
            </w:r>
          </w:p>
        </w:tc>
        <w:tc>
          <w:tcPr>
            <w:tcW w:w="1187" w:type="dxa"/>
            <w:vAlign w:val="top"/>
          </w:tcPr>
          <w:p w14:paraId="10968CD3">
            <w:pPr>
              <w:jc w:val="left"/>
            </w:pPr>
            <w:r>
              <w:rPr>
                <w:rFonts w:ascii="仿宋_GB2312" w:hAnsi="仿宋"/>
                <w:sz w:val="24"/>
              </w:rPr>
              <w:t>0.1</w:t>
            </w:r>
          </w:p>
        </w:tc>
        <w:tc>
          <w:tcPr>
            <w:tcW w:w="1200" w:type="dxa"/>
            <w:vAlign w:val="top"/>
          </w:tcPr>
          <w:p w14:paraId="51C59793">
            <w:pPr>
              <w:jc w:val="left"/>
            </w:pPr>
            <w:r>
              <w:rPr>
                <w:rFonts w:ascii="仿宋_GB2312" w:hAnsi="仿宋"/>
                <w:sz w:val="24"/>
              </w:rPr>
              <w:t>0.1</w:t>
            </w:r>
          </w:p>
        </w:tc>
        <w:tc>
          <w:tcPr>
            <w:tcW w:w="1415" w:type="dxa"/>
            <w:vAlign w:val="top"/>
          </w:tcPr>
          <w:p w14:paraId="6225CDCC">
            <w:pPr>
              <w:jc w:val="left"/>
            </w:pPr>
            <w:r>
              <w:rPr>
                <w:rFonts w:ascii="仿宋_GB2312" w:hAnsi="仿宋"/>
                <w:sz w:val="24"/>
              </w:rPr>
              <w:t>0.3</w:t>
            </w:r>
          </w:p>
        </w:tc>
        <w:tc>
          <w:tcPr>
            <w:tcW w:w="1364" w:type="dxa"/>
            <w:vAlign w:val="top"/>
          </w:tcPr>
          <w:p w14:paraId="7F8A26DE">
            <w:pPr>
              <w:jc w:val="left"/>
            </w:pPr>
          </w:p>
        </w:tc>
        <w:tc>
          <w:tcPr>
            <w:tcW w:w="1079" w:type="dxa"/>
            <w:vAlign w:val="top"/>
          </w:tcPr>
          <w:p w14:paraId="27BFB3CA">
            <w:pPr>
              <w:jc w:val="left"/>
            </w:pPr>
            <w:r>
              <w:rPr>
                <w:rFonts w:ascii="仿宋_GB2312" w:hAnsi="仿宋"/>
                <w:sz w:val="24"/>
              </w:rPr>
              <w:t>0.5</w:t>
            </w:r>
          </w:p>
        </w:tc>
      </w:tr>
      <w:tr w14:paraId="25D3783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03C4397">
            <w:pPr>
              <w:jc w:val="left"/>
            </w:pPr>
            <w:r>
              <w:rPr>
                <w:rFonts w:ascii="仿宋_GB2312" w:hAnsi="仿宋"/>
                <w:sz w:val="24"/>
              </w:rPr>
              <w:t>闽清县</w:t>
            </w:r>
          </w:p>
        </w:tc>
        <w:tc>
          <w:tcPr>
            <w:tcW w:w="1187" w:type="dxa"/>
            <w:vAlign w:val="top"/>
          </w:tcPr>
          <w:p w14:paraId="401382C9">
            <w:pPr>
              <w:jc w:val="left"/>
            </w:pPr>
            <w:r>
              <w:rPr>
                <w:rFonts w:ascii="仿宋_GB2312" w:hAnsi="仿宋"/>
                <w:sz w:val="24"/>
              </w:rPr>
              <w:t>0.1</w:t>
            </w:r>
          </w:p>
        </w:tc>
        <w:tc>
          <w:tcPr>
            <w:tcW w:w="1200" w:type="dxa"/>
            <w:vAlign w:val="top"/>
          </w:tcPr>
          <w:p w14:paraId="72A5ABD9">
            <w:pPr>
              <w:jc w:val="left"/>
            </w:pPr>
            <w:r>
              <w:rPr>
                <w:rFonts w:ascii="仿宋_GB2312" w:hAnsi="仿宋"/>
                <w:sz w:val="24"/>
              </w:rPr>
              <w:t>0.1</w:t>
            </w:r>
          </w:p>
        </w:tc>
        <w:tc>
          <w:tcPr>
            <w:tcW w:w="1415" w:type="dxa"/>
            <w:vAlign w:val="top"/>
          </w:tcPr>
          <w:p w14:paraId="2B22C8FB">
            <w:pPr>
              <w:jc w:val="left"/>
            </w:pPr>
            <w:r>
              <w:rPr>
                <w:rFonts w:ascii="仿宋_GB2312" w:hAnsi="仿宋"/>
                <w:sz w:val="24"/>
              </w:rPr>
              <w:t>0.3</w:t>
            </w:r>
          </w:p>
        </w:tc>
        <w:tc>
          <w:tcPr>
            <w:tcW w:w="1364" w:type="dxa"/>
            <w:vAlign w:val="top"/>
          </w:tcPr>
          <w:p w14:paraId="30C1FF8A">
            <w:pPr>
              <w:jc w:val="left"/>
            </w:pPr>
          </w:p>
        </w:tc>
        <w:tc>
          <w:tcPr>
            <w:tcW w:w="1079" w:type="dxa"/>
            <w:vAlign w:val="top"/>
          </w:tcPr>
          <w:p w14:paraId="502128F1">
            <w:pPr>
              <w:jc w:val="left"/>
            </w:pPr>
            <w:r>
              <w:rPr>
                <w:rFonts w:ascii="仿宋_GB2312" w:hAnsi="仿宋"/>
                <w:sz w:val="24"/>
              </w:rPr>
              <w:t>0.5</w:t>
            </w:r>
          </w:p>
        </w:tc>
      </w:tr>
      <w:tr w14:paraId="092CF5B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27BBB6DE">
            <w:pPr>
              <w:jc w:val="left"/>
            </w:pPr>
            <w:r>
              <w:rPr>
                <w:rFonts w:ascii="仿宋_GB2312" w:hAnsi="仿宋"/>
                <w:sz w:val="24"/>
              </w:rPr>
              <w:t>永泰县</w:t>
            </w:r>
          </w:p>
        </w:tc>
        <w:tc>
          <w:tcPr>
            <w:tcW w:w="1187" w:type="dxa"/>
            <w:vAlign w:val="top"/>
          </w:tcPr>
          <w:p w14:paraId="02A2D6B8">
            <w:pPr>
              <w:jc w:val="left"/>
            </w:pPr>
            <w:r>
              <w:rPr>
                <w:rFonts w:ascii="仿宋_GB2312" w:hAnsi="仿宋"/>
                <w:sz w:val="24"/>
              </w:rPr>
              <w:t>0.1</w:t>
            </w:r>
          </w:p>
        </w:tc>
        <w:tc>
          <w:tcPr>
            <w:tcW w:w="1200" w:type="dxa"/>
            <w:vAlign w:val="top"/>
          </w:tcPr>
          <w:p w14:paraId="3C8DA10F">
            <w:pPr>
              <w:jc w:val="left"/>
            </w:pPr>
            <w:r>
              <w:rPr>
                <w:rFonts w:ascii="仿宋_GB2312" w:hAnsi="仿宋"/>
                <w:sz w:val="24"/>
              </w:rPr>
              <w:t>0.1</w:t>
            </w:r>
          </w:p>
        </w:tc>
        <w:tc>
          <w:tcPr>
            <w:tcW w:w="1415" w:type="dxa"/>
            <w:vAlign w:val="top"/>
          </w:tcPr>
          <w:p w14:paraId="3A059F75">
            <w:pPr>
              <w:jc w:val="left"/>
            </w:pPr>
            <w:r>
              <w:rPr>
                <w:rFonts w:ascii="仿宋_GB2312" w:hAnsi="仿宋"/>
                <w:sz w:val="24"/>
              </w:rPr>
              <w:t>0.1</w:t>
            </w:r>
          </w:p>
        </w:tc>
        <w:tc>
          <w:tcPr>
            <w:tcW w:w="1364" w:type="dxa"/>
            <w:vAlign w:val="top"/>
          </w:tcPr>
          <w:p w14:paraId="3342B145">
            <w:pPr>
              <w:jc w:val="left"/>
            </w:pPr>
          </w:p>
        </w:tc>
        <w:tc>
          <w:tcPr>
            <w:tcW w:w="1079" w:type="dxa"/>
            <w:vAlign w:val="top"/>
          </w:tcPr>
          <w:p w14:paraId="71FBBAE1">
            <w:pPr>
              <w:jc w:val="left"/>
            </w:pPr>
            <w:r>
              <w:rPr>
                <w:rFonts w:ascii="仿宋_GB2312" w:hAnsi="仿宋"/>
                <w:sz w:val="24"/>
              </w:rPr>
              <w:t>0.3</w:t>
            </w:r>
          </w:p>
        </w:tc>
      </w:tr>
      <w:tr w14:paraId="2360AFE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3A42833E">
            <w:pPr>
              <w:jc w:val="left"/>
            </w:pPr>
            <w:r>
              <w:rPr>
                <w:rFonts w:ascii="仿宋_GB2312" w:hAnsi="仿宋"/>
                <w:b/>
                <w:sz w:val="24"/>
              </w:rPr>
              <w:t>厦门市</w:t>
            </w:r>
          </w:p>
        </w:tc>
        <w:tc>
          <w:tcPr>
            <w:tcW w:w="1187" w:type="dxa"/>
            <w:vAlign w:val="top"/>
          </w:tcPr>
          <w:p w14:paraId="15132FA9">
            <w:pPr>
              <w:jc w:val="left"/>
            </w:pPr>
            <w:r>
              <w:rPr>
                <w:rFonts w:ascii="仿宋_GB2312" w:hAnsi="仿宋"/>
                <w:sz w:val="24"/>
              </w:rPr>
              <w:t>15.7</w:t>
            </w:r>
          </w:p>
        </w:tc>
        <w:tc>
          <w:tcPr>
            <w:tcW w:w="1200" w:type="dxa"/>
            <w:vAlign w:val="top"/>
          </w:tcPr>
          <w:p w14:paraId="38D65611">
            <w:pPr>
              <w:jc w:val="left"/>
            </w:pPr>
            <w:r>
              <w:rPr>
                <w:rFonts w:ascii="仿宋_GB2312" w:hAnsi="仿宋"/>
                <w:sz w:val="24"/>
              </w:rPr>
              <w:t>11.8</w:t>
            </w:r>
          </w:p>
        </w:tc>
        <w:tc>
          <w:tcPr>
            <w:tcW w:w="1415" w:type="dxa"/>
            <w:vAlign w:val="top"/>
          </w:tcPr>
          <w:p w14:paraId="046092B6">
            <w:pPr>
              <w:jc w:val="left"/>
            </w:pPr>
            <w:r>
              <w:rPr>
                <w:rFonts w:ascii="仿宋_GB2312" w:hAnsi="仿宋"/>
                <w:sz w:val="24"/>
              </w:rPr>
              <w:t>42.0</w:t>
            </w:r>
          </w:p>
        </w:tc>
        <w:tc>
          <w:tcPr>
            <w:tcW w:w="1364" w:type="dxa"/>
            <w:vAlign w:val="top"/>
          </w:tcPr>
          <w:p w14:paraId="7A31A0A2">
            <w:pPr>
              <w:jc w:val="left"/>
            </w:pPr>
            <w:r>
              <w:rPr>
                <w:rFonts w:ascii="仿宋_GB2312" w:hAnsi="仿宋"/>
                <w:sz w:val="24"/>
              </w:rPr>
              <w:t>11.5</w:t>
            </w:r>
          </w:p>
        </w:tc>
        <w:tc>
          <w:tcPr>
            <w:tcW w:w="1079" w:type="dxa"/>
            <w:vAlign w:val="top"/>
          </w:tcPr>
          <w:p w14:paraId="0E934478">
            <w:pPr>
              <w:jc w:val="left"/>
            </w:pPr>
            <w:r>
              <w:rPr>
                <w:rFonts w:ascii="仿宋_GB2312" w:hAnsi="仿宋"/>
                <w:sz w:val="24"/>
              </w:rPr>
              <w:t>81</w:t>
            </w:r>
          </w:p>
        </w:tc>
      </w:tr>
      <w:tr w14:paraId="316E65F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25" w:hRule="atLeast"/>
          <w:jc w:val="center"/>
        </w:trPr>
        <w:tc>
          <w:tcPr>
            <w:tcW w:w="1267" w:type="dxa"/>
            <w:vAlign w:val="top"/>
          </w:tcPr>
          <w:p w14:paraId="5D3B8972">
            <w:pPr>
              <w:jc w:val="left"/>
            </w:pPr>
            <w:r>
              <w:rPr>
                <w:rFonts w:ascii="仿宋_GB2312" w:hAnsi="仿宋"/>
                <w:b/>
                <w:sz w:val="24"/>
              </w:rPr>
              <w:t>莆田市</w:t>
            </w:r>
          </w:p>
        </w:tc>
        <w:tc>
          <w:tcPr>
            <w:tcW w:w="1187" w:type="dxa"/>
            <w:vAlign w:val="top"/>
          </w:tcPr>
          <w:p w14:paraId="75EC497E">
            <w:pPr>
              <w:jc w:val="left"/>
            </w:pPr>
            <w:r>
              <w:rPr>
                <w:rFonts w:ascii="仿宋_GB2312" w:hAnsi="仿宋"/>
                <w:sz w:val="24"/>
              </w:rPr>
              <w:t>6.6</w:t>
            </w:r>
          </w:p>
        </w:tc>
        <w:tc>
          <w:tcPr>
            <w:tcW w:w="1200" w:type="dxa"/>
            <w:vAlign w:val="top"/>
          </w:tcPr>
          <w:p w14:paraId="61547DE4">
            <w:pPr>
              <w:jc w:val="left"/>
            </w:pPr>
            <w:r>
              <w:rPr>
                <w:rFonts w:ascii="仿宋_GB2312" w:hAnsi="仿宋"/>
                <w:sz w:val="24"/>
              </w:rPr>
              <w:t>5.9</w:t>
            </w:r>
          </w:p>
        </w:tc>
        <w:tc>
          <w:tcPr>
            <w:tcW w:w="1415" w:type="dxa"/>
            <w:vAlign w:val="top"/>
          </w:tcPr>
          <w:p w14:paraId="34DAC9BB">
            <w:pPr>
              <w:jc w:val="left"/>
            </w:pPr>
            <w:r>
              <w:rPr>
                <w:rFonts w:ascii="仿宋_GB2312" w:hAnsi="仿宋"/>
                <w:sz w:val="24"/>
              </w:rPr>
              <w:t>21.1</w:t>
            </w:r>
          </w:p>
        </w:tc>
        <w:tc>
          <w:tcPr>
            <w:tcW w:w="1364" w:type="dxa"/>
            <w:vAlign w:val="top"/>
          </w:tcPr>
          <w:p w14:paraId="070E2D50">
            <w:pPr>
              <w:jc w:val="left"/>
            </w:pPr>
            <w:r>
              <w:rPr>
                <w:rFonts w:ascii="仿宋_GB2312" w:hAnsi="仿宋"/>
                <w:sz w:val="24"/>
              </w:rPr>
              <w:t>0.7</w:t>
            </w:r>
          </w:p>
        </w:tc>
        <w:tc>
          <w:tcPr>
            <w:tcW w:w="1079" w:type="dxa"/>
            <w:vAlign w:val="top"/>
          </w:tcPr>
          <w:p w14:paraId="0987A074">
            <w:pPr>
              <w:jc w:val="left"/>
            </w:pPr>
            <w:r>
              <w:rPr>
                <w:rFonts w:ascii="仿宋_GB2312" w:hAnsi="仿宋"/>
                <w:sz w:val="24"/>
              </w:rPr>
              <w:t>34.3</w:t>
            </w:r>
          </w:p>
        </w:tc>
      </w:tr>
      <w:tr w14:paraId="7195BD5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25" w:hRule="atLeast"/>
          <w:jc w:val="center"/>
        </w:trPr>
        <w:tc>
          <w:tcPr>
            <w:tcW w:w="1267" w:type="dxa"/>
            <w:vAlign w:val="top"/>
          </w:tcPr>
          <w:p w14:paraId="781699D0">
            <w:pPr>
              <w:jc w:val="left"/>
            </w:pPr>
            <w:r>
              <w:rPr>
                <w:rFonts w:ascii="仿宋_GB2312" w:hAnsi="仿宋"/>
                <w:sz w:val="24"/>
              </w:rPr>
              <w:t>市区</w:t>
            </w:r>
          </w:p>
        </w:tc>
        <w:tc>
          <w:tcPr>
            <w:tcW w:w="1187" w:type="dxa"/>
            <w:vAlign w:val="top"/>
          </w:tcPr>
          <w:p w14:paraId="2E93B7A3">
            <w:pPr>
              <w:jc w:val="left"/>
            </w:pPr>
            <w:r>
              <w:rPr>
                <w:rFonts w:ascii="仿宋_GB2312" w:hAnsi="仿宋"/>
                <w:sz w:val="24"/>
              </w:rPr>
              <w:t>5.7</w:t>
            </w:r>
          </w:p>
        </w:tc>
        <w:tc>
          <w:tcPr>
            <w:tcW w:w="1200" w:type="dxa"/>
            <w:vAlign w:val="top"/>
          </w:tcPr>
          <w:p w14:paraId="43F2239A">
            <w:pPr>
              <w:jc w:val="left"/>
            </w:pPr>
            <w:r>
              <w:rPr>
                <w:rFonts w:ascii="仿宋_GB2312" w:hAnsi="仿宋"/>
                <w:sz w:val="24"/>
              </w:rPr>
              <w:t>3.8</w:t>
            </w:r>
          </w:p>
        </w:tc>
        <w:tc>
          <w:tcPr>
            <w:tcW w:w="1415" w:type="dxa"/>
            <w:vAlign w:val="top"/>
          </w:tcPr>
          <w:p w14:paraId="24047911">
            <w:pPr>
              <w:jc w:val="left"/>
            </w:pPr>
            <w:r>
              <w:rPr>
                <w:rFonts w:ascii="仿宋_GB2312" w:hAnsi="仿宋"/>
                <w:sz w:val="24"/>
              </w:rPr>
              <w:t>16.2</w:t>
            </w:r>
          </w:p>
        </w:tc>
        <w:tc>
          <w:tcPr>
            <w:tcW w:w="1364" w:type="dxa"/>
            <w:vAlign w:val="top"/>
          </w:tcPr>
          <w:p w14:paraId="339390F9">
            <w:pPr>
              <w:jc w:val="left"/>
            </w:pPr>
          </w:p>
        </w:tc>
        <w:tc>
          <w:tcPr>
            <w:tcW w:w="1079" w:type="dxa"/>
            <w:vAlign w:val="top"/>
          </w:tcPr>
          <w:p w14:paraId="0A203118">
            <w:pPr>
              <w:jc w:val="left"/>
            </w:pPr>
            <w:r>
              <w:rPr>
                <w:rFonts w:ascii="仿宋_GB2312" w:hAnsi="仿宋"/>
                <w:sz w:val="24"/>
              </w:rPr>
              <w:t>25.7</w:t>
            </w:r>
          </w:p>
        </w:tc>
      </w:tr>
      <w:tr w14:paraId="3A82E92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1D4F883C">
            <w:pPr>
              <w:jc w:val="left"/>
            </w:pPr>
            <w:r>
              <w:rPr>
                <w:rFonts w:ascii="仿宋_GB2312" w:hAnsi="仿宋"/>
                <w:sz w:val="24"/>
              </w:rPr>
              <w:t>仙游县</w:t>
            </w:r>
          </w:p>
        </w:tc>
        <w:tc>
          <w:tcPr>
            <w:tcW w:w="1187" w:type="dxa"/>
            <w:vAlign w:val="top"/>
          </w:tcPr>
          <w:p w14:paraId="675171F7">
            <w:pPr>
              <w:jc w:val="left"/>
            </w:pPr>
            <w:r>
              <w:rPr>
                <w:rFonts w:ascii="仿宋_GB2312" w:hAnsi="仿宋"/>
                <w:sz w:val="24"/>
              </w:rPr>
              <w:t>0.9</w:t>
            </w:r>
          </w:p>
        </w:tc>
        <w:tc>
          <w:tcPr>
            <w:tcW w:w="1200" w:type="dxa"/>
            <w:vAlign w:val="top"/>
          </w:tcPr>
          <w:p w14:paraId="5497FB27">
            <w:pPr>
              <w:jc w:val="left"/>
            </w:pPr>
            <w:r>
              <w:rPr>
                <w:rFonts w:ascii="仿宋_GB2312" w:hAnsi="仿宋"/>
                <w:sz w:val="24"/>
              </w:rPr>
              <w:t>0.8</w:t>
            </w:r>
          </w:p>
        </w:tc>
        <w:tc>
          <w:tcPr>
            <w:tcW w:w="1415" w:type="dxa"/>
            <w:vAlign w:val="top"/>
          </w:tcPr>
          <w:p w14:paraId="07C93657">
            <w:pPr>
              <w:jc w:val="left"/>
            </w:pPr>
            <w:r>
              <w:rPr>
                <w:rFonts w:ascii="仿宋_GB2312" w:hAnsi="仿宋"/>
                <w:sz w:val="24"/>
              </w:rPr>
              <w:t>0.8</w:t>
            </w:r>
          </w:p>
        </w:tc>
        <w:tc>
          <w:tcPr>
            <w:tcW w:w="1364" w:type="dxa"/>
            <w:vAlign w:val="top"/>
          </w:tcPr>
          <w:p w14:paraId="47423B24">
            <w:pPr>
              <w:jc w:val="left"/>
            </w:pPr>
          </w:p>
        </w:tc>
        <w:tc>
          <w:tcPr>
            <w:tcW w:w="1079" w:type="dxa"/>
            <w:vAlign w:val="top"/>
          </w:tcPr>
          <w:p w14:paraId="5CB8F590">
            <w:pPr>
              <w:jc w:val="left"/>
            </w:pPr>
            <w:r>
              <w:rPr>
                <w:rFonts w:ascii="仿宋_GB2312" w:hAnsi="仿宋"/>
                <w:sz w:val="24"/>
              </w:rPr>
              <w:t>2.5</w:t>
            </w:r>
          </w:p>
        </w:tc>
      </w:tr>
      <w:tr w14:paraId="5846166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25" w:hRule="atLeast"/>
          <w:jc w:val="center"/>
        </w:trPr>
        <w:tc>
          <w:tcPr>
            <w:tcW w:w="1267" w:type="dxa"/>
            <w:vAlign w:val="top"/>
          </w:tcPr>
          <w:p w14:paraId="2AFC3AAE">
            <w:pPr>
              <w:jc w:val="left"/>
            </w:pPr>
            <w:r>
              <w:rPr>
                <w:rFonts w:ascii="仿宋_GB2312" w:hAnsi="仿宋"/>
                <w:b/>
                <w:sz w:val="24"/>
              </w:rPr>
              <w:t>三明市</w:t>
            </w:r>
          </w:p>
        </w:tc>
        <w:tc>
          <w:tcPr>
            <w:tcW w:w="1187" w:type="dxa"/>
            <w:vAlign w:val="top"/>
          </w:tcPr>
          <w:p w14:paraId="67229790">
            <w:pPr>
              <w:jc w:val="left"/>
            </w:pPr>
            <w:r>
              <w:rPr>
                <w:rFonts w:ascii="仿宋_GB2312" w:hAnsi="仿宋"/>
                <w:sz w:val="24"/>
              </w:rPr>
              <w:t>1.3</w:t>
            </w:r>
          </w:p>
        </w:tc>
        <w:tc>
          <w:tcPr>
            <w:tcW w:w="1200" w:type="dxa"/>
            <w:vAlign w:val="top"/>
          </w:tcPr>
          <w:p w14:paraId="164D20C4">
            <w:pPr>
              <w:jc w:val="left"/>
            </w:pPr>
            <w:r>
              <w:rPr>
                <w:rFonts w:ascii="仿宋_GB2312" w:hAnsi="仿宋"/>
                <w:sz w:val="24"/>
              </w:rPr>
              <w:t>0.8</w:t>
            </w:r>
          </w:p>
        </w:tc>
        <w:tc>
          <w:tcPr>
            <w:tcW w:w="1415" w:type="dxa"/>
            <w:vAlign w:val="top"/>
          </w:tcPr>
          <w:p w14:paraId="2CD6355F">
            <w:pPr>
              <w:jc w:val="left"/>
            </w:pPr>
            <w:r>
              <w:rPr>
                <w:rFonts w:ascii="仿宋_GB2312" w:hAnsi="仿宋"/>
                <w:sz w:val="24"/>
              </w:rPr>
              <w:t>2.2</w:t>
            </w:r>
          </w:p>
        </w:tc>
        <w:tc>
          <w:tcPr>
            <w:tcW w:w="1364" w:type="dxa"/>
            <w:vAlign w:val="top"/>
          </w:tcPr>
          <w:p w14:paraId="7944A886">
            <w:pPr>
              <w:jc w:val="left"/>
            </w:pPr>
            <w:r>
              <w:rPr>
                <w:rFonts w:ascii="仿宋_GB2312" w:hAnsi="仿宋"/>
                <w:sz w:val="24"/>
              </w:rPr>
              <w:t>0.6</w:t>
            </w:r>
          </w:p>
        </w:tc>
        <w:tc>
          <w:tcPr>
            <w:tcW w:w="1079" w:type="dxa"/>
            <w:vAlign w:val="top"/>
          </w:tcPr>
          <w:p w14:paraId="49ED7845">
            <w:pPr>
              <w:jc w:val="left"/>
            </w:pPr>
            <w:r>
              <w:rPr>
                <w:rFonts w:ascii="仿宋_GB2312" w:hAnsi="仿宋"/>
                <w:sz w:val="24"/>
              </w:rPr>
              <w:t>4.9</w:t>
            </w:r>
          </w:p>
        </w:tc>
      </w:tr>
      <w:tr w14:paraId="2D9DA09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25" w:hRule="atLeast"/>
          <w:jc w:val="center"/>
        </w:trPr>
        <w:tc>
          <w:tcPr>
            <w:tcW w:w="1267" w:type="dxa"/>
            <w:vAlign w:val="top"/>
          </w:tcPr>
          <w:p w14:paraId="76D1884A">
            <w:pPr>
              <w:jc w:val="left"/>
            </w:pPr>
            <w:r>
              <w:rPr>
                <w:rFonts w:ascii="仿宋_GB2312" w:hAnsi="仿宋"/>
                <w:sz w:val="24"/>
              </w:rPr>
              <w:t>市区</w:t>
            </w:r>
          </w:p>
        </w:tc>
        <w:tc>
          <w:tcPr>
            <w:tcW w:w="1187" w:type="dxa"/>
            <w:vAlign w:val="top"/>
          </w:tcPr>
          <w:p w14:paraId="1865F15E">
            <w:pPr>
              <w:jc w:val="left"/>
            </w:pPr>
            <w:r>
              <w:rPr>
                <w:rFonts w:ascii="仿宋_GB2312" w:hAnsi="仿宋"/>
                <w:sz w:val="24"/>
              </w:rPr>
              <w:t>0.3</w:t>
            </w:r>
          </w:p>
        </w:tc>
        <w:tc>
          <w:tcPr>
            <w:tcW w:w="1200" w:type="dxa"/>
            <w:vAlign w:val="top"/>
          </w:tcPr>
          <w:p w14:paraId="49ED9074">
            <w:pPr>
              <w:jc w:val="left"/>
            </w:pPr>
            <w:r>
              <w:rPr>
                <w:rFonts w:ascii="仿宋_GB2312" w:hAnsi="仿宋"/>
                <w:sz w:val="24"/>
              </w:rPr>
              <w:t>0.3</w:t>
            </w:r>
          </w:p>
        </w:tc>
        <w:tc>
          <w:tcPr>
            <w:tcW w:w="1415" w:type="dxa"/>
            <w:vAlign w:val="top"/>
          </w:tcPr>
          <w:p w14:paraId="2E6D22A8">
            <w:pPr>
              <w:jc w:val="left"/>
            </w:pPr>
            <w:r>
              <w:rPr>
                <w:rFonts w:ascii="仿宋_GB2312" w:hAnsi="仿宋"/>
                <w:sz w:val="24"/>
              </w:rPr>
              <w:t>0.5</w:t>
            </w:r>
          </w:p>
        </w:tc>
        <w:tc>
          <w:tcPr>
            <w:tcW w:w="1364" w:type="dxa"/>
            <w:vAlign w:val="top"/>
          </w:tcPr>
          <w:p w14:paraId="2743DB88">
            <w:pPr>
              <w:jc w:val="left"/>
            </w:pPr>
          </w:p>
        </w:tc>
        <w:tc>
          <w:tcPr>
            <w:tcW w:w="1079" w:type="dxa"/>
            <w:vAlign w:val="top"/>
          </w:tcPr>
          <w:p w14:paraId="3E970266">
            <w:pPr>
              <w:jc w:val="left"/>
            </w:pPr>
            <w:r>
              <w:rPr>
                <w:rFonts w:ascii="仿宋_GB2312" w:hAnsi="仿宋"/>
                <w:sz w:val="24"/>
              </w:rPr>
              <w:t>1.1</w:t>
            </w:r>
          </w:p>
        </w:tc>
      </w:tr>
      <w:tr w14:paraId="386B7E7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1E6AC87">
            <w:pPr>
              <w:jc w:val="left"/>
            </w:pPr>
            <w:r>
              <w:rPr>
                <w:rFonts w:ascii="仿宋_GB2312" w:hAnsi="仿宋"/>
                <w:sz w:val="24"/>
              </w:rPr>
              <w:t>永安市</w:t>
            </w:r>
          </w:p>
        </w:tc>
        <w:tc>
          <w:tcPr>
            <w:tcW w:w="1187" w:type="dxa"/>
            <w:vAlign w:val="top"/>
          </w:tcPr>
          <w:p w14:paraId="5E7B3389">
            <w:pPr>
              <w:jc w:val="left"/>
            </w:pPr>
            <w:r>
              <w:rPr>
                <w:rFonts w:ascii="仿宋_GB2312" w:hAnsi="仿宋"/>
                <w:sz w:val="24"/>
              </w:rPr>
              <w:t>0.3</w:t>
            </w:r>
          </w:p>
        </w:tc>
        <w:tc>
          <w:tcPr>
            <w:tcW w:w="1200" w:type="dxa"/>
            <w:vAlign w:val="top"/>
          </w:tcPr>
          <w:p w14:paraId="1D31C397">
            <w:pPr>
              <w:jc w:val="left"/>
            </w:pPr>
            <w:r>
              <w:rPr>
                <w:rFonts w:ascii="仿宋_GB2312" w:hAnsi="仿宋"/>
                <w:sz w:val="24"/>
              </w:rPr>
              <w:t>0.2</w:t>
            </w:r>
          </w:p>
        </w:tc>
        <w:tc>
          <w:tcPr>
            <w:tcW w:w="1415" w:type="dxa"/>
            <w:vAlign w:val="top"/>
          </w:tcPr>
          <w:p w14:paraId="11631DC9">
            <w:pPr>
              <w:jc w:val="left"/>
            </w:pPr>
            <w:r>
              <w:rPr>
                <w:rFonts w:ascii="仿宋_GB2312" w:hAnsi="仿宋"/>
                <w:sz w:val="24"/>
              </w:rPr>
              <w:t>0.9</w:t>
            </w:r>
          </w:p>
        </w:tc>
        <w:tc>
          <w:tcPr>
            <w:tcW w:w="1364" w:type="dxa"/>
            <w:vAlign w:val="top"/>
          </w:tcPr>
          <w:p w14:paraId="2BCB3DFC">
            <w:pPr>
              <w:jc w:val="left"/>
            </w:pPr>
          </w:p>
        </w:tc>
        <w:tc>
          <w:tcPr>
            <w:tcW w:w="1079" w:type="dxa"/>
            <w:vAlign w:val="top"/>
          </w:tcPr>
          <w:p w14:paraId="358C186F">
            <w:pPr>
              <w:jc w:val="left"/>
            </w:pPr>
            <w:r>
              <w:rPr>
                <w:rFonts w:ascii="仿宋_GB2312" w:hAnsi="仿宋"/>
                <w:sz w:val="24"/>
              </w:rPr>
              <w:t>1.4</w:t>
            </w:r>
          </w:p>
        </w:tc>
      </w:tr>
      <w:tr w14:paraId="062E3CA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25" w:hRule="atLeast"/>
          <w:jc w:val="center"/>
        </w:trPr>
        <w:tc>
          <w:tcPr>
            <w:tcW w:w="1267" w:type="dxa"/>
            <w:vAlign w:val="top"/>
          </w:tcPr>
          <w:p w14:paraId="7DE78653">
            <w:pPr>
              <w:jc w:val="left"/>
            </w:pPr>
            <w:r>
              <w:rPr>
                <w:rFonts w:ascii="仿宋_GB2312" w:hAnsi="仿宋"/>
                <w:sz w:val="24"/>
              </w:rPr>
              <w:t>明溪县</w:t>
            </w:r>
          </w:p>
        </w:tc>
        <w:tc>
          <w:tcPr>
            <w:tcW w:w="1187" w:type="dxa"/>
            <w:vAlign w:val="top"/>
          </w:tcPr>
          <w:p w14:paraId="1E71D627">
            <w:pPr>
              <w:jc w:val="left"/>
            </w:pPr>
            <w:r>
              <w:rPr>
                <w:rFonts w:ascii="仿宋_GB2312" w:hAnsi="仿宋"/>
                <w:sz w:val="24"/>
              </w:rPr>
              <w:t>×</w:t>
            </w:r>
          </w:p>
        </w:tc>
        <w:tc>
          <w:tcPr>
            <w:tcW w:w="1200" w:type="dxa"/>
            <w:vAlign w:val="top"/>
          </w:tcPr>
          <w:p w14:paraId="605CFA9E">
            <w:pPr>
              <w:jc w:val="left"/>
            </w:pPr>
            <w:r>
              <w:rPr>
                <w:rFonts w:ascii="仿宋_GB2312" w:hAnsi="仿宋"/>
                <w:sz w:val="24"/>
              </w:rPr>
              <w:t>×</w:t>
            </w:r>
          </w:p>
        </w:tc>
        <w:tc>
          <w:tcPr>
            <w:tcW w:w="1415" w:type="dxa"/>
            <w:vAlign w:val="top"/>
          </w:tcPr>
          <w:p w14:paraId="4FF4CE4F">
            <w:pPr>
              <w:jc w:val="left"/>
            </w:pPr>
            <w:r>
              <w:rPr>
                <w:rFonts w:ascii="仿宋_GB2312" w:hAnsi="仿宋"/>
                <w:sz w:val="24"/>
              </w:rPr>
              <w:t>×</w:t>
            </w:r>
          </w:p>
        </w:tc>
        <w:tc>
          <w:tcPr>
            <w:tcW w:w="1364" w:type="dxa"/>
            <w:vAlign w:val="top"/>
          </w:tcPr>
          <w:p w14:paraId="7E6FA9A1">
            <w:pPr>
              <w:jc w:val="left"/>
            </w:pPr>
          </w:p>
        </w:tc>
        <w:tc>
          <w:tcPr>
            <w:tcW w:w="1079" w:type="dxa"/>
            <w:vAlign w:val="top"/>
          </w:tcPr>
          <w:p w14:paraId="34A09E05">
            <w:pPr>
              <w:jc w:val="left"/>
            </w:pPr>
            <w:r>
              <w:rPr>
                <w:rFonts w:ascii="仿宋_GB2312" w:hAnsi="仿宋"/>
                <w:sz w:val="24"/>
              </w:rPr>
              <w:t>×</w:t>
            </w:r>
          </w:p>
        </w:tc>
      </w:tr>
      <w:tr w14:paraId="190C487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67DE0438">
            <w:pPr>
              <w:jc w:val="left"/>
            </w:pPr>
            <w:r>
              <w:rPr>
                <w:rFonts w:ascii="仿宋_GB2312" w:hAnsi="仿宋"/>
                <w:sz w:val="24"/>
              </w:rPr>
              <w:t>清流县</w:t>
            </w:r>
          </w:p>
        </w:tc>
        <w:tc>
          <w:tcPr>
            <w:tcW w:w="1187" w:type="dxa"/>
            <w:vAlign w:val="top"/>
          </w:tcPr>
          <w:p w14:paraId="5E2C3A27">
            <w:pPr>
              <w:jc w:val="left"/>
            </w:pPr>
            <w:r>
              <w:rPr>
                <w:rFonts w:ascii="仿宋_GB2312" w:hAnsi="仿宋"/>
                <w:sz w:val="24"/>
              </w:rPr>
              <w:t>×</w:t>
            </w:r>
          </w:p>
        </w:tc>
        <w:tc>
          <w:tcPr>
            <w:tcW w:w="1200" w:type="dxa"/>
            <w:vAlign w:val="top"/>
          </w:tcPr>
          <w:p w14:paraId="2E25CE28">
            <w:pPr>
              <w:jc w:val="left"/>
            </w:pPr>
            <w:r>
              <w:rPr>
                <w:rFonts w:ascii="仿宋_GB2312" w:hAnsi="仿宋"/>
                <w:sz w:val="24"/>
              </w:rPr>
              <w:t>×</w:t>
            </w:r>
          </w:p>
        </w:tc>
        <w:tc>
          <w:tcPr>
            <w:tcW w:w="1415" w:type="dxa"/>
            <w:vAlign w:val="top"/>
          </w:tcPr>
          <w:p w14:paraId="3CD5A3F8">
            <w:pPr>
              <w:jc w:val="left"/>
            </w:pPr>
            <w:r>
              <w:rPr>
                <w:rFonts w:ascii="仿宋_GB2312" w:hAnsi="仿宋"/>
                <w:sz w:val="24"/>
              </w:rPr>
              <w:t>×</w:t>
            </w:r>
          </w:p>
        </w:tc>
        <w:tc>
          <w:tcPr>
            <w:tcW w:w="1364" w:type="dxa"/>
            <w:vAlign w:val="top"/>
          </w:tcPr>
          <w:p w14:paraId="50475451">
            <w:pPr>
              <w:jc w:val="left"/>
            </w:pPr>
          </w:p>
        </w:tc>
        <w:tc>
          <w:tcPr>
            <w:tcW w:w="1079" w:type="dxa"/>
            <w:vAlign w:val="top"/>
          </w:tcPr>
          <w:p w14:paraId="25409A8B">
            <w:pPr>
              <w:jc w:val="left"/>
            </w:pPr>
            <w:r>
              <w:rPr>
                <w:rFonts w:ascii="仿宋_GB2312" w:hAnsi="仿宋"/>
                <w:sz w:val="24"/>
              </w:rPr>
              <w:t>×</w:t>
            </w:r>
          </w:p>
        </w:tc>
      </w:tr>
      <w:tr w14:paraId="6E871A0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0E5B474D">
            <w:pPr>
              <w:jc w:val="left"/>
            </w:pPr>
            <w:r>
              <w:rPr>
                <w:rFonts w:ascii="仿宋_GB2312" w:hAnsi="仿宋"/>
                <w:sz w:val="24"/>
              </w:rPr>
              <w:t>宁化县</w:t>
            </w:r>
          </w:p>
        </w:tc>
        <w:tc>
          <w:tcPr>
            <w:tcW w:w="1187" w:type="dxa"/>
            <w:vAlign w:val="top"/>
          </w:tcPr>
          <w:p w14:paraId="3008350D">
            <w:pPr>
              <w:jc w:val="left"/>
            </w:pPr>
            <w:r>
              <w:rPr>
                <w:rFonts w:ascii="仿宋_GB2312" w:hAnsi="仿宋"/>
                <w:sz w:val="24"/>
              </w:rPr>
              <w:t>0.2</w:t>
            </w:r>
          </w:p>
        </w:tc>
        <w:tc>
          <w:tcPr>
            <w:tcW w:w="1200" w:type="dxa"/>
            <w:vAlign w:val="top"/>
          </w:tcPr>
          <w:p w14:paraId="4D3DB851">
            <w:pPr>
              <w:jc w:val="left"/>
            </w:pPr>
            <w:r>
              <w:rPr>
                <w:rFonts w:ascii="仿宋_GB2312" w:hAnsi="仿宋"/>
                <w:sz w:val="24"/>
              </w:rPr>
              <w:t>0.1</w:t>
            </w:r>
          </w:p>
        </w:tc>
        <w:tc>
          <w:tcPr>
            <w:tcW w:w="1415" w:type="dxa"/>
            <w:vAlign w:val="top"/>
          </w:tcPr>
          <w:p w14:paraId="19EF158B">
            <w:pPr>
              <w:jc w:val="left"/>
            </w:pPr>
            <w:r>
              <w:rPr>
                <w:rFonts w:ascii="仿宋_GB2312" w:hAnsi="仿宋"/>
                <w:sz w:val="24"/>
              </w:rPr>
              <w:t>0.3</w:t>
            </w:r>
          </w:p>
        </w:tc>
        <w:tc>
          <w:tcPr>
            <w:tcW w:w="1364" w:type="dxa"/>
            <w:vAlign w:val="top"/>
          </w:tcPr>
          <w:p w14:paraId="207E3697">
            <w:pPr>
              <w:jc w:val="left"/>
            </w:pPr>
          </w:p>
        </w:tc>
        <w:tc>
          <w:tcPr>
            <w:tcW w:w="1079" w:type="dxa"/>
            <w:vAlign w:val="top"/>
          </w:tcPr>
          <w:p w14:paraId="45B97522">
            <w:pPr>
              <w:jc w:val="left"/>
            </w:pPr>
            <w:r>
              <w:rPr>
                <w:rFonts w:ascii="仿宋_GB2312" w:hAnsi="仿宋"/>
                <w:sz w:val="24"/>
              </w:rPr>
              <w:t>0.6</w:t>
            </w:r>
          </w:p>
        </w:tc>
      </w:tr>
      <w:tr w14:paraId="24340FA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08E6C1E9">
            <w:pPr>
              <w:jc w:val="left"/>
            </w:pPr>
            <w:r>
              <w:rPr>
                <w:rFonts w:ascii="仿宋_GB2312" w:hAnsi="仿宋"/>
                <w:sz w:val="24"/>
              </w:rPr>
              <w:t>大田县</w:t>
            </w:r>
          </w:p>
        </w:tc>
        <w:tc>
          <w:tcPr>
            <w:tcW w:w="1187" w:type="dxa"/>
            <w:vAlign w:val="top"/>
          </w:tcPr>
          <w:p w14:paraId="0E470D2A">
            <w:pPr>
              <w:jc w:val="left"/>
            </w:pPr>
            <w:r>
              <w:rPr>
                <w:rFonts w:ascii="仿宋_GB2312" w:hAnsi="仿宋"/>
                <w:sz w:val="24"/>
              </w:rPr>
              <w:t>0.2</w:t>
            </w:r>
          </w:p>
        </w:tc>
        <w:tc>
          <w:tcPr>
            <w:tcW w:w="1200" w:type="dxa"/>
            <w:vAlign w:val="top"/>
          </w:tcPr>
          <w:p w14:paraId="1BDF3755">
            <w:pPr>
              <w:jc w:val="left"/>
            </w:pPr>
            <w:r>
              <w:rPr>
                <w:rFonts w:ascii="仿宋_GB2312" w:hAnsi="仿宋"/>
                <w:sz w:val="24"/>
              </w:rPr>
              <w:t>0.1</w:t>
            </w:r>
          </w:p>
        </w:tc>
        <w:tc>
          <w:tcPr>
            <w:tcW w:w="1415" w:type="dxa"/>
            <w:vAlign w:val="top"/>
          </w:tcPr>
          <w:p w14:paraId="58C45A42">
            <w:pPr>
              <w:jc w:val="left"/>
            </w:pPr>
            <w:r>
              <w:rPr>
                <w:rFonts w:ascii="仿宋_GB2312" w:hAnsi="仿宋"/>
                <w:sz w:val="24"/>
              </w:rPr>
              <w:t>0.2</w:t>
            </w:r>
          </w:p>
        </w:tc>
        <w:tc>
          <w:tcPr>
            <w:tcW w:w="1364" w:type="dxa"/>
            <w:vAlign w:val="top"/>
          </w:tcPr>
          <w:p w14:paraId="57661D60">
            <w:pPr>
              <w:jc w:val="left"/>
            </w:pPr>
          </w:p>
        </w:tc>
        <w:tc>
          <w:tcPr>
            <w:tcW w:w="1079" w:type="dxa"/>
            <w:vAlign w:val="top"/>
          </w:tcPr>
          <w:p w14:paraId="44580C33">
            <w:pPr>
              <w:jc w:val="left"/>
            </w:pPr>
            <w:r>
              <w:rPr>
                <w:rFonts w:ascii="仿宋_GB2312" w:hAnsi="仿宋"/>
                <w:sz w:val="24"/>
              </w:rPr>
              <w:t>0.5</w:t>
            </w:r>
          </w:p>
        </w:tc>
      </w:tr>
      <w:tr w14:paraId="592AE38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91A1946">
            <w:pPr>
              <w:jc w:val="left"/>
            </w:pPr>
            <w:r>
              <w:rPr>
                <w:rFonts w:ascii="仿宋_GB2312" w:hAnsi="仿宋"/>
                <w:sz w:val="24"/>
              </w:rPr>
              <w:t>尤溪县</w:t>
            </w:r>
          </w:p>
        </w:tc>
        <w:tc>
          <w:tcPr>
            <w:tcW w:w="1187" w:type="dxa"/>
            <w:vAlign w:val="top"/>
          </w:tcPr>
          <w:p w14:paraId="009660CF">
            <w:pPr>
              <w:jc w:val="left"/>
            </w:pPr>
            <w:r>
              <w:rPr>
                <w:rFonts w:ascii="仿宋_GB2312" w:hAnsi="仿宋"/>
                <w:sz w:val="24"/>
              </w:rPr>
              <w:t>0.2</w:t>
            </w:r>
          </w:p>
        </w:tc>
        <w:tc>
          <w:tcPr>
            <w:tcW w:w="1200" w:type="dxa"/>
            <w:vAlign w:val="top"/>
          </w:tcPr>
          <w:p w14:paraId="6FA8DEBA">
            <w:pPr>
              <w:jc w:val="left"/>
            </w:pPr>
            <w:r>
              <w:rPr>
                <w:rFonts w:ascii="仿宋_GB2312" w:hAnsi="仿宋"/>
                <w:sz w:val="24"/>
              </w:rPr>
              <w:t>0.1</w:t>
            </w:r>
          </w:p>
        </w:tc>
        <w:tc>
          <w:tcPr>
            <w:tcW w:w="1415" w:type="dxa"/>
            <w:vAlign w:val="top"/>
          </w:tcPr>
          <w:p w14:paraId="28F6FE02">
            <w:pPr>
              <w:jc w:val="left"/>
            </w:pPr>
            <w:r>
              <w:rPr>
                <w:rFonts w:ascii="仿宋_GB2312" w:hAnsi="仿宋"/>
                <w:sz w:val="24"/>
              </w:rPr>
              <w:t>0.2</w:t>
            </w:r>
          </w:p>
        </w:tc>
        <w:tc>
          <w:tcPr>
            <w:tcW w:w="1364" w:type="dxa"/>
            <w:vAlign w:val="top"/>
          </w:tcPr>
          <w:p w14:paraId="5E800C92">
            <w:pPr>
              <w:jc w:val="left"/>
            </w:pPr>
          </w:p>
        </w:tc>
        <w:tc>
          <w:tcPr>
            <w:tcW w:w="1079" w:type="dxa"/>
            <w:vAlign w:val="top"/>
          </w:tcPr>
          <w:p w14:paraId="47EE1228">
            <w:pPr>
              <w:jc w:val="left"/>
            </w:pPr>
            <w:r>
              <w:rPr>
                <w:rFonts w:ascii="仿宋_GB2312" w:hAnsi="仿宋"/>
                <w:sz w:val="24"/>
              </w:rPr>
              <w:t>0.5</w:t>
            </w:r>
          </w:p>
        </w:tc>
      </w:tr>
      <w:tr w14:paraId="7DDB230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13" w:hRule="atLeast"/>
          <w:jc w:val="center"/>
        </w:trPr>
        <w:tc>
          <w:tcPr>
            <w:tcW w:w="1267" w:type="dxa"/>
            <w:vAlign w:val="top"/>
          </w:tcPr>
          <w:p w14:paraId="202197BF">
            <w:pPr>
              <w:jc w:val="left"/>
            </w:pPr>
            <w:r>
              <w:rPr>
                <w:rFonts w:ascii="仿宋_GB2312" w:hAnsi="仿宋"/>
                <w:sz w:val="24"/>
              </w:rPr>
              <w:t>沙县</w:t>
            </w:r>
          </w:p>
        </w:tc>
        <w:tc>
          <w:tcPr>
            <w:tcW w:w="1187" w:type="dxa"/>
            <w:vAlign w:val="top"/>
          </w:tcPr>
          <w:p w14:paraId="7C100DAE">
            <w:pPr>
              <w:jc w:val="left"/>
            </w:pPr>
            <w:r>
              <w:rPr>
                <w:rFonts w:ascii="仿宋_GB2312" w:hAnsi="仿宋"/>
                <w:sz w:val="24"/>
              </w:rPr>
              <w:t>0.1</w:t>
            </w:r>
          </w:p>
        </w:tc>
        <w:tc>
          <w:tcPr>
            <w:tcW w:w="1200" w:type="dxa"/>
            <w:vAlign w:val="top"/>
          </w:tcPr>
          <w:p w14:paraId="7D9C8852">
            <w:pPr>
              <w:jc w:val="left"/>
            </w:pPr>
            <w:r>
              <w:rPr>
                <w:rFonts w:ascii="仿宋_GB2312" w:hAnsi="仿宋"/>
                <w:sz w:val="24"/>
              </w:rPr>
              <w:t>0.1</w:t>
            </w:r>
          </w:p>
        </w:tc>
        <w:tc>
          <w:tcPr>
            <w:tcW w:w="1415" w:type="dxa"/>
            <w:vAlign w:val="top"/>
          </w:tcPr>
          <w:p w14:paraId="445674B2">
            <w:pPr>
              <w:jc w:val="left"/>
            </w:pPr>
            <w:r>
              <w:rPr>
                <w:rFonts w:ascii="仿宋_GB2312" w:hAnsi="仿宋"/>
                <w:sz w:val="24"/>
              </w:rPr>
              <w:t>0.1</w:t>
            </w:r>
          </w:p>
        </w:tc>
        <w:tc>
          <w:tcPr>
            <w:tcW w:w="1364" w:type="dxa"/>
            <w:vAlign w:val="top"/>
          </w:tcPr>
          <w:p w14:paraId="70C16A64">
            <w:pPr>
              <w:jc w:val="left"/>
            </w:pPr>
          </w:p>
        </w:tc>
        <w:tc>
          <w:tcPr>
            <w:tcW w:w="1079" w:type="dxa"/>
            <w:vAlign w:val="top"/>
          </w:tcPr>
          <w:p w14:paraId="6BCB7D3B">
            <w:pPr>
              <w:jc w:val="left"/>
            </w:pPr>
            <w:r>
              <w:rPr>
                <w:rFonts w:ascii="仿宋_GB2312" w:hAnsi="仿宋"/>
                <w:sz w:val="24"/>
              </w:rPr>
              <w:t>0.3</w:t>
            </w:r>
          </w:p>
        </w:tc>
      </w:tr>
      <w:tr w14:paraId="3256215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3EBCFDC">
            <w:pPr>
              <w:jc w:val="left"/>
            </w:pPr>
            <w:r>
              <w:rPr>
                <w:rFonts w:ascii="仿宋_GB2312" w:hAnsi="仿宋"/>
                <w:sz w:val="24"/>
              </w:rPr>
              <w:t>将乐县</w:t>
            </w:r>
          </w:p>
        </w:tc>
        <w:tc>
          <w:tcPr>
            <w:tcW w:w="1187" w:type="dxa"/>
            <w:vAlign w:val="top"/>
          </w:tcPr>
          <w:p w14:paraId="6869B0B6">
            <w:pPr>
              <w:jc w:val="left"/>
            </w:pPr>
            <w:r>
              <w:rPr>
                <w:rFonts w:ascii="仿宋_GB2312" w:hAnsi="仿宋"/>
                <w:sz w:val="24"/>
              </w:rPr>
              <w:t>×</w:t>
            </w:r>
          </w:p>
        </w:tc>
        <w:tc>
          <w:tcPr>
            <w:tcW w:w="1200" w:type="dxa"/>
            <w:vAlign w:val="top"/>
          </w:tcPr>
          <w:p w14:paraId="59D4BB2F">
            <w:pPr>
              <w:jc w:val="left"/>
            </w:pPr>
            <w:r>
              <w:rPr>
                <w:rFonts w:ascii="仿宋_GB2312" w:hAnsi="仿宋"/>
                <w:sz w:val="24"/>
              </w:rPr>
              <w:t>×</w:t>
            </w:r>
          </w:p>
        </w:tc>
        <w:tc>
          <w:tcPr>
            <w:tcW w:w="1415" w:type="dxa"/>
            <w:vAlign w:val="top"/>
          </w:tcPr>
          <w:p w14:paraId="09BF9B01">
            <w:pPr>
              <w:jc w:val="left"/>
            </w:pPr>
            <w:r>
              <w:rPr>
                <w:rFonts w:ascii="仿宋_GB2312" w:hAnsi="仿宋"/>
                <w:sz w:val="24"/>
              </w:rPr>
              <w:t>×</w:t>
            </w:r>
          </w:p>
        </w:tc>
        <w:tc>
          <w:tcPr>
            <w:tcW w:w="1364" w:type="dxa"/>
            <w:vAlign w:val="top"/>
          </w:tcPr>
          <w:p w14:paraId="15FB2D2D">
            <w:pPr>
              <w:jc w:val="left"/>
            </w:pPr>
          </w:p>
        </w:tc>
        <w:tc>
          <w:tcPr>
            <w:tcW w:w="1079" w:type="dxa"/>
            <w:vAlign w:val="top"/>
          </w:tcPr>
          <w:p w14:paraId="36BFD95B">
            <w:pPr>
              <w:jc w:val="left"/>
            </w:pPr>
            <w:r>
              <w:rPr>
                <w:rFonts w:ascii="仿宋_GB2312" w:hAnsi="仿宋"/>
                <w:sz w:val="24"/>
              </w:rPr>
              <w:t>×</w:t>
            </w:r>
          </w:p>
        </w:tc>
      </w:tr>
      <w:tr w14:paraId="54827C1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5693F36">
            <w:pPr>
              <w:jc w:val="left"/>
            </w:pPr>
            <w:r>
              <w:rPr>
                <w:rFonts w:ascii="仿宋_GB2312" w:hAnsi="仿宋"/>
                <w:sz w:val="24"/>
              </w:rPr>
              <w:t>泰宁县</w:t>
            </w:r>
          </w:p>
        </w:tc>
        <w:tc>
          <w:tcPr>
            <w:tcW w:w="1187" w:type="dxa"/>
            <w:vAlign w:val="top"/>
          </w:tcPr>
          <w:p w14:paraId="2FDF4611">
            <w:pPr>
              <w:jc w:val="left"/>
            </w:pPr>
            <w:r>
              <w:rPr>
                <w:rFonts w:ascii="仿宋_GB2312" w:hAnsi="仿宋"/>
                <w:sz w:val="24"/>
              </w:rPr>
              <w:t>×</w:t>
            </w:r>
          </w:p>
        </w:tc>
        <w:tc>
          <w:tcPr>
            <w:tcW w:w="1200" w:type="dxa"/>
            <w:vAlign w:val="top"/>
          </w:tcPr>
          <w:p w14:paraId="7EB92007">
            <w:pPr>
              <w:jc w:val="left"/>
            </w:pPr>
            <w:r>
              <w:rPr>
                <w:rFonts w:ascii="仿宋_GB2312" w:hAnsi="仿宋"/>
                <w:sz w:val="24"/>
              </w:rPr>
              <w:t>×</w:t>
            </w:r>
          </w:p>
        </w:tc>
        <w:tc>
          <w:tcPr>
            <w:tcW w:w="1415" w:type="dxa"/>
            <w:vAlign w:val="top"/>
          </w:tcPr>
          <w:p w14:paraId="6203C628">
            <w:pPr>
              <w:jc w:val="left"/>
            </w:pPr>
            <w:r>
              <w:rPr>
                <w:rFonts w:ascii="仿宋_GB2312" w:hAnsi="仿宋"/>
                <w:sz w:val="24"/>
              </w:rPr>
              <w:t>×</w:t>
            </w:r>
          </w:p>
        </w:tc>
        <w:tc>
          <w:tcPr>
            <w:tcW w:w="1364" w:type="dxa"/>
            <w:vAlign w:val="top"/>
          </w:tcPr>
          <w:p w14:paraId="19545361">
            <w:pPr>
              <w:jc w:val="left"/>
            </w:pPr>
          </w:p>
        </w:tc>
        <w:tc>
          <w:tcPr>
            <w:tcW w:w="1079" w:type="dxa"/>
            <w:vAlign w:val="top"/>
          </w:tcPr>
          <w:p w14:paraId="6DB3470A">
            <w:pPr>
              <w:jc w:val="left"/>
            </w:pPr>
            <w:r>
              <w:rPr>
                <w:rFonts w:ascii="仿宋_GB2312" w:hAnsi="仿宋"/>
                <w:sz w:val="24"/>
              </w:rPr>
              <w:t>×</w:t>
            </w:r>
          </w:p>
        </w:tc>
      </w:tr>
      <w:tr w14:paraId="54C4810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1A91804F">
            <w:pPr>
              <w:jc w:val="left"/>
            </w:pPr>
            <w:r>
              <w:rPr>
                <w:rFonts w:ascii="仿宋_GB2312" w:hAnsi="仿宋"/>
                <w:sz w:val="24"/>
              </w:rPr>
              <w:t>建宁县</w:t>
            </w:r>
          </w:p>
        </w:tc>
        <w:tc>
          <w:tcPr>
            <w:tcW w:w="1187" w:type="dxa"/>
            <w:vAlign w:val="top"/>
          </w:tcPr>
          <w:p w14:paraId="42527C44">
            <w:pPr>
              <w:jc w:val="left"/>
            </w:pPr>
            <w:r>
              <w:rPr>
                <w:rFonts w:ascii="仿宋_GB2312" w:hAnsi="仿宋"/>
                <w:sz w:val="24"/>
              </w:rPr>
              <w:t>×</w:t>
            </w:r>
          </w:p>
        </w:tc>
        <w:tc>
          <w:tcPr>
            <w:tcW w:w="1200" w:type="dxa"/>
            <w:vAlign w:val="top"/>
          </w:tcPr>
          <w:p w14:paraId="38C73242">
            <w:pPr>
              <w:jc w:val="left"/>
            </w:pPr>
            <w:r>
              <w:rPr>
                <w:rFonts w:ascii="仿宋_GB2312" w:hAnsi="仿宋"/>
                <w:sz w:val="24"/>
              </w:rPr>
              <w:t>×</w:t>
            </w:r>
          </w:p>
        </w:tc>
        <w:tc>
          <w:tcPr>
            <w:tcW w:w="1415" w:type="dxa"/>
            <w:vAlign w:val="top"/>
          </w:tcPr>
          <w:p w14:paraId="02EB0D79">
            <w:pPr>
              <w:jc w:val="left"/>
            </w:pPr>
            <w:r>
              <w:rPr>
                <w:rFonts w:ascii="仿宋_GB2312" w:hAnsi="仿宋"/>
                <w:sz w:val="24"/>
              </w:rPr>
              <w:t>×</w:t>
            </w:r>
          </w:p>
        </w:tc>
        <w:tc>
          <w:tcPr>
            <w:tcW w:w="1364" w:type="dxa"/>
            <w:vAlign w:val="top"/>
          </w:tcPr>
          <w:p w14:paraId="7067C5DA">
            <w:pPr>
              <w:jc w:val="left"/>
            </w:pPr>
          </w:p>
        </w:tc>
        <w:tc>
          <w:tcPr>
            <w:tcW w:w="1079" w:type="dxa"/>
            <w:vAlign w:val="top"/>
          </w:tcPr>
          <w:p w14:paraId="42392227">
            <w:pPr>
              <w:jc w:val="left"/>
            </w:pPr>
            <w:r>
              <w:rPr>
                <w:rFonts w:ascii="仿宋_GB2312" w:hAnsi="仿宋"/>
                <w:sz w:val="24"/>
              </w:rPr>
              <w:t>×</w:t>
            </w:r>
          </w:p>
        </w:tc>
      </w:tr>
      <w:tr w14:paraId="05C836B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65DEEA05">
            <w:pPr>
              <w:jc w:val="left"/>
            </w:pPr>
            <w:r>
              <w:rPr>
                <w:rFonts w:ascii="仿宋_GB2312" w:hAnsi="仿宋"/>
                <w:b/>
                <w:sz w:val="24"/>
              </w:rPr>
              <w:t>泉州市</w:t>
            </w:r>
          </w:p>
        </w:tc>
        <w:tc>
          <w:tcPr>
            <w:tcW w:w="1187" w:type="dxa"/>
            <w:vAlign w:val="top"/>
          </w:tcPr>
          <w:p w14:paraId="296CBB57">
            <w:pPr>
              <w:jc w:val="left"/>
            </w:pPr>
            <w:r>
              <w:rPr>
                <w:rFonts w:ascii="仿宋_GB2312" w:hAnsi="仿宋"/>
                <w:sz w:val="24"/>
              </w:rPr>
              <w:t>19.5</w:t>
            </w:r>
          </w:p>
        </w:tc>
        <w:tc>
          <w:tcPr>
            <w:tcW w:w="1200" w:type="dxa"/>
            <w:vAlign w:val="top"/>
          </w:tcPr>
          <w:p w14:paraId="12C14BB2">
            <w:pPr>
              <w:jc w:val="left"/>
            </w:pPr>
            <w:r>
              <w:rPr>
                <w:rFonts w:ascii="仿宋_GB2312" w:hAnsi="仿宋"/>
                <w:sz w:val="24"/>
              </w:rPr>
              <w:t>16.3</w:t>
            </w:r>
          </w:p>
        </w:tc>
        <w:tc>
          <w:tcPr>
            <w:tcW w:w="1415" w:type="dxa"/>
            <w:vAlign w:val="top"/>
          </w:tcPr>
          <w:p w14:paraId="77AE239B">
            <w:pPr>
              <w:jc w:val="left"/>
            </w:pPr>
            <w:r>
              <w:rPr>
                <w:rFonts w:ascii="仿宋_GB2312" w:hAnsi="仿宋"/>
                <w:sz w:val="24"/>
              </w:rPr>
              <w:t>48.5</w:t>
            </w:r>
          </w:p>
        </w:tc>
        <w:tc>
          <w:tcPr>
            <w:tcW w:w="1364" w:type="dxa"/>
            <w:vAlign w:val="top"/>
          </w:tcPr>
          <w:p w14:paraId="78682E92">
            <w:pPr>
              <w:jc w:val="left"/>
            </w:pPr>
            <w:r>
              <w:rPr>
                <w:rFonts w:ascii="仿宋_GB2312" w:hAnsi="仿宋"/>
                <w:sz w:val="24"/>
              </w:rPr>
              <w:t>6.3</w:t>
            </w:r>
          </w:p>
        </w:tc>
        <w:tc>
          <w:tcPr>
            <w:tcW w:w="1079" w:type="dxa"/>
            <w:vAlign w:val="top"/>
          </w:tcPr>
          <w:p w14:paraId="0C64BC4A">
            <w:pPr>
              <w:jc w:val="left"/>
            </w:pPr>
            <w:r>
              <w:rPr>
                <w:rFonts w:ascii="仿宋_GB2312" w:hAnsi="仿宋"/>
                <w:sz w:val="24"/>
              </w:rPr>
              <w:t>90.6</w:t>
            </w:r>
          </w:p>
        </w:tc>
      </w:tr>
      <w:tr w14:paraId="6E57669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13" w:hRule="atLeast"/>
          <w:jc w:val="center"/>
        </w:trPr>
        <w:tc>
          <w:tcPr>
            <w:tcW w:w="1267" w:type="dxa"/>
            <w:vAlign w:val="top"/>
          </w:tcPr>
          <w:p w14:paraId="4B454670">
            <w:pPr>
              <w:jc w:val="left"/>
            </w:pPr>
            <w:r>
              <w:rPr>
                <w:rFonts w:ascii="仿宋_GB2312" w:hAnsi="仿宋"/>
                <w:sz w:val="24"/>
              </w:rPr>
              <w:t>市区</w:t>
            </w:r>
          </w:p>
        </w:tc>
        <w:tc>
          <w:tcPr>
            <w:tcW w:w="1187" w:type="dxa"/>
            <w:vAlign w:val="top"/>
          </w:tcPr>
          <w:p w14:paraId="558CA0FB">
            <w:pPr>
              <w:jc w:val="left"/>
            </w:pPr>
            <w:r>
              <w:rPr>
                <w:rFonts w:ascii="仿宋_GB2312" w:hAnsi="仿宋"/>
                <w:sz w:val="24"/>
              </w:rPr>
              <w:t>7.3</w:t>
            </w:r>
          </w:p>
        </w:tc>
        <w:tc>
          <w:tcPr>
            <w:tcW w:w="1200" w:type="dxa"/>
            <w:vAlign w:val="top"/>
          </w:tcPr>
          <w:p w14:paraId="294AB005">
            <w:pPr>
              <w:jc w:val="left"/>
            </w:pPr>
            <w:r>
              <w:rPr>
                <w:rFonts w:ascii="仿宋_GB2312" w:hAnsi="仿宋"/>
                <w:sz w:val="24"/>
              </w:rPr>
              <w:t>3.1</w:t>
            </w:r>
          </w:p>
        </w:tc>
        <w:tc>
          <w:tcPr>
            <w:tcW w:w="1415" w:type="dxa"/>
            <w:vAlign w:val="top"/>
          </w:tcPr>
          <w:p w14:paraId="135AF99D">
            <w:pPr>
              <w:jc w:val="left"/>
            </w:pPr>
            <w:r>
              <w:rPr>
                <w:rFonts w:ascii="仿宋_GB2312" w:hAnsi="仿宋"/>
                <w:sz w:val="24"/>
              </w:rPr>
              <w:t>36.9</w:t>
            </w:r>
          </w:p>
        </w:tc>
        <w:tc>
          <w:tcPr>
            <w:tcW w:w="1364" w:type="dxa"/>
            <w:vAlign w:val="top"/>
          </w:tcPr>
          <w:p w14:paraId="47B4039B">
            <w:pPr>
              <w:jc w:val="left"/>
            </w:pPr>
          </w:p>
        </w:tc>
        <w:tc>
          <w:tcPr>
            <w:tcW w:w="1079" w:type="dxa"/>
            <w:vAlign w:val="top"/>
          </w:tcPr>
          <w:p w14:paraId="757FAA35">
            <w:pPr>
              <w:jc w:val="left"/>
            </w:pPr>
            <w:r>
              <w:rPr>
                <w:rFonts w:ascii="仿宋_GB2312" w:hAnsi="仿宋"/>
                <w:sz w:val="24"/>
              </w:rPr>
              <w:t>47.3</w:t>
            </w:r>
          </w:p>
        </w:tc>
      </w:tr>
      <w:tr w14:paraId="1DB4C4F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1999735B">
            <w:pPr>
              <w:jc w:val="left"/>
            </w:pPr>
            <w:r>
              <w:rPr>
                <w:rFonts w:ascii="仿宋_GB2312" w:hAnsi="仿宋"/>
                <w:sz w:val="24"/>
              </w:rPr>
              <w:t>石狮市</w:t>
            </w:r>
          </w:p>
        </w:tc>
        <w:tc>
          <w:tcPr>
            <w:tcW w:w="1187" w:type="dxa"/>
            <w:vAlign w:val="top"/>
          </w:tcPr>
          <w:p w14:paraId="22C2BEAE">
            <w:pPr>
              <w:jc w:val="left"/>
            </w:pPr>
            <w:r>
              <w:rPr>
                <w:rFonts w:ascii="仿宋_GB2312" w:hAnsi="仿宋"/>
                <w:sz w:val="24"/>
              </w:rPr>
              <w:t>0.9</w:t>
            </w:r>
          </w:p>
        </w:tc>
        <w:tc>
          <w:tcPr>
            <w:tcW w:w="1200" w:type="dxa"/>
            <w:vAlign w:val="top"/>
          </w:tcPr>
          <w:p w14:paraId="41294092">
            <w:pPr>
              <w:jc w:val="left"/>
            </w:pPr>
            <w:r>
              <w:rPr>
                <w:rFonts w:ascii="仿宋_GB2312" w:hAnsi="仿宋"/>
                <w:sz w:val="24"/>
              </w:rPr>
              <w:t>0.7</w:t>
            </w:r>
          </w:p>
        </w:tc>
        <w:tc>
          <w:tcPr>
            <w:tcW w:w="1415" w:type="dxa"/>
            <w:vAlign w:val="top"/>
          </w:tcPr>
          <w:p w14:paraId="2ED6B17B">
            <w:pPr>
              <w:jc w:val="left"/>
            </w:pPr>
            <w:r>
              <w:rPr>
                <w:rFonts w:ascii="仿宋_GB2312" w:hAnsi="仿宋"/>
                <w:sz w:val="24"/>
              </w:rPr>
              <w:t>1.5</w:t>
            </w:r>
          </w:p>
        </w:tc>
        <w:tc>
          <w:tcPr>
            <w:tcW w:w="1364" w:type="dxa"/>
            <w:vAlign w:val="top"/>
          </w:tcPr>
          <w:p w14:paraId="3C766945">
            <w:pPr>
              <w:jc w:val="left"/>
            </w:pPr>
          </w:p>
        </w:tc>
        <w:tc>
          <w:tcPr>
            <w:tcW w:w="1079" w:type="dxa"/>
            <w:vAlign w:val="top"/>
          </w:tcPr>
          <w:p w14:paraId="2388A40E">
            <w:pPr>
              <w:jc w:val="left"/>
            </w:pPr>
            <w:r>
              <w:rPr>
                <w:rFonts w:ascii="仿宋_GB2312" w:hAnsi="仿宋"/>
                <w:sz w:val="24"/>
              </w:rPr>
              <w:t>3.1</w:t>
            </w:r>
          </w:p>
        </w:tc>
      </w:tr>
      <w:tr w14:paraId="1BACE2C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04201B34">
            <w:pPr>
              <w:jc w:val="left"/>
            </w:pPr>
            <w:r>
              <w:rPr>
                <w:rFonts w:ascii="仿宋_GB2312" w:hAnsi="仿宋"/>
                <w:sz w:val="24"/>
              </w:rPr>
              <w:t>晋江市</w:t>
            </w:r>
          </w:p>
        </w:tc>
        <w:tc>
          <w:tcPr>
            <w:tcW w:w="1187" w:type="dxa"/>
            <w:vAlign w:val="top"/>
          </w:tcPr>
          <w:p w14:paraId="1B509B8E">
            <w:pPr>
              <w:jc w:val="left"/>
            </w:pPr>
            <w:r>
              <w:rPr>
                <w:rFonts w:ascii="仿宋_GB2312" w:hAnsi="仿宋"/>
                <w:sz w:val="24"/>
              </w:rPr>
              <w:t>3.9</w:t>
            </w:r>
          </w:p>
        </w:tc>
        <w:tc>
          <w:tcPr>
            <w:tcW w:w="1200" w:type="dxa"/>
            <w:vAlign w:val="top"/>
          </w:tcPr>
          <w:p w14:paraId="3F3ED96B">
            <w:pPr>
              <w:jc w:val="left"/>
            </w:pPr>
            <w:r>
              <w:rPr>
                <w:rFonts w:ascii="仿宋_GB2312" w:hAnsi="仿宋"/>
                <w:sz w:val="24"/>
              </w:rPr>
              <w:t>2.3</w:t>
            </w:r>
          </w:p>
        </w:tc>
        <w:tc>
          <w:tcPr>
            <w:tcW w:w="1415" w:type="dxa"/>
            <w:vAlign w:val="top"/>
          </w:tcPr>
          <w:p w14:paraId="78F013CF">
            <w:pPr>
              <w:jc w:val="left"/>
            </w:pPr>
            <w:r>
              <w:rPr>
                <w:rFonts w:ascii="仿宋_GB2312" w:hAnsi="仿宋"/>
                <w:sz w:val="24"/>
              </w:rPr>
              <w:t>1.9</w:t>
            </w:r>
          </w:p>
        </w:tc>
        <w:tc>
          <w:tcPr>
            <w:tcW w:w="1364" w:type="dxa"/>
            <w:vAlign w:val="top"/>
          </w:tcPr>
          <w:p w14:paraId="78F7B319">
            <w:pPr>
              <w:jc w:val="left"/>
            </w:pPr>
          </w:p>
        </w:tc>
        <w:tc>
          <w:tcPr>
            <w:tcW w:w="1079" w:type="dxa"/>
            <w:vAlign w:val="top"/>
          </w:tcPr>
          <w:p w14:paraId="4A4B39A4">
            <w:pPr>
              <w:jc w:val="left"/>
            </w:pPr>
            <w:r>
              <w:rPr>
                <w:rFonts w:ascii="仿宋_GB2312" w:hAnsi="仿宋"/>
                <w:sz w:val="24"/>
              </w:rPr>
              <w:t>8.1</w:t>
            </w:r>
          </w:p>
        </w:tc>
      </w:tr>
      <w:tr w14:paraId="7683A9D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035F116C">
            <w:pPr>
              <w:jc w:val="left"/>
            </w:pPr>
            <w:r>
              <w:rPr>
                <w:rFonts w:ascii="仿宋_GB2312" w:hAnsi="仿宋"/>
                <w:sz w:val="24"/>
              </w:rPr>
              <w:t>南安市</w:t>
            </w:r>
          </w:p>
        </w:tc>
        <w:tc>
          <w:tcPr>
            <w:tcW w:w="1187" w:type="dxa"/>
            <w:vAlign w:val="top"/>
          </w:tcPr>
          <w:p w14:paraId="4D061040">
            <w:pPr>
              <w:jc w:val="left"/>
            </w:pPr>
            <w:r>
              <w:rPr>
                <w:rFonts w:ascii="仿宋_GB2312" w:hAnsi="仿宋"/>
                <w:sz w:val="24"/>
              </w:rPr>
              <w:t>3.7</w:t>
            </w:r>
          </w:p>
        </w:tc>
        <w:tc>
          <w:tcPr>
            <w:tcW w:w="1200" w:type="dxa"/>
            <w:vAlign w:val="top"/>
          </w:tcPr>
          <w:p w14:paraId="07C6A279">
            <w:pPr>
              <w:jc w:val="left"/>
            </w:pPr>
            <w:r>
              <w:rPr>
                <w:rFonts w:ascii="仿宋_GB2312" w:hAnsi="仿宋"/>
                <w:sz w:val="24"/>
              </w:rPr>
              <w:t>3.0</w:t>
            </w:r>
          </w:p>
        </w:tc>
        <w:tc>
          <w:tcPr>
            <w:tcW w:w="1415" w:type="dxa"/>
            <w:vAlign w:val="top"/>
          </w:tcPr>
          <w:p w14:paraId="225DE343">
            <w:pPr>
              <w:jc w:val="left"/>
            </w:pPr>
            <w:r>
              <w:rPr>
                <w:rFonts w:ascii="仿宋_GB2312" w:hAnsi="仿宋"/>
                <w:sz w:val="24"/>
              </w:rPr>
              <w:t>2.6</w:t>
            </w:r>
          </w:p>
        </w:tc>
        <w:tc>
          <w:tcPr>
            <w:tcW w:w="1364" w:type="dxa"/>
            <w:vAlign w:val="top"/>
          </w:tcPr>
          <w:p w14:paraId="2B4CF01F">
            <w:pPr>
              <w:jc w:val="left"/>
            </w:pPr>
          </w:p>
        </w:tc>
        <w:tc>
          <w:tcPr>
            <w:tcW w:w="1079" w:type="dxa"/>
            <w:vAlign w:val="top"/>
          </w:tcPr>
          <w:p w14:paraId="02E6314E">
            <w:pPr>
              <w:jc w:val="left"/>
            </w:pPr>
            <w:r>
              <w:rPr>
                <w:rFonts w:ascii="仿宋_GB2312" w:hAnsi="仿宋"/>
                <w:sz w:val="24"/>
              </w:rPr>
              <w:t>9.3</w:t>
            </w:r>
          </w:p>
        </w:tc>
      </w:tr>
      <w:tr w14:paraId="703A714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3D2A85F7">
            <w:pPr>
              <w:jc w:val="left"/>
            </w:pPr>
            <w:r>
              <w:rPr>
                <w:rFonts w:ascii="仿宋_GB2312" w:hAnsi="仿宋"/>
                <w:sz w:val="24"/>
              </w:rPr>
              <w:t>惠安县</w:t>
            </w:r>
          </w:p>
        </w:tc>
        <w:tc>
          <w:tcPr>
            <w:tcW w:w="1187" w:type="dxa"/>
            <w:vAlign w:val="top"/>
          </w:tcPr>
          <w:p w14:paraId="553F5C1F">
            <w:pPr>
              <w:jc w:val="left"/>
            </w:pPr>
            <w:r>
              <w:rPr>
                <w:rFonts w:ascii="仿宋_GB2312" w:hAnsi="仿宋"/>
                <w:sz w:val="24"/>
              </w:rPr>
              <w:t>1.3</w:t>
            </w:r>
          </w:p>
        </w:tc>
        <w:tc>
          <w:tcPr>
            <w:tcW w:w="1200" w:type="dxa"/>
            <w:vAlign w:val="top"/>
          </w:tcPr>
          <w:p w14:paraId="39C86569">
            <w:pPr>
              <w:jc w:val="left"/>
            </w:pPr>
            <w:r>
              <w:rPr>
                <w:rFonts w:ascii="仿宋_GB2312" w:hAnsi="仿宋"/>
                <w:sz w:val="24"/>
              </w:rPr>
              <w:t>1.2</w:t>
            </w:r>
          </w:p>
        </w:tc>
        <w:tc>
          <w:tcPr>
            <w:tcW w:w="1415" w:type="dxa"/>
            <w:vAlign w:val="top"/>
          </w:tcPr>
          <w:p w14:paraId="6295729B">
            <w:pPr>
              <w:jc w:val="left"/>
            </w:pPr>
            <w:r>
              <w:rPr>
                <w:rFonts w:ascii="仿宋_GB2312" w:hAnsi="仿宋"/>
                <w:sz w:val="24"/>
              </w:rPr>
              <w:t>0.2</w:t>
            </w:r>
          </w:p>
        </w:tc>
        <w:tc>
          <w:tcPr>
            <w:tcW w:w="1364" w:type="dxa"/>
            <w:vAlign w:val="top"/>
          </w:tcPr>
          <w:p w14:paraId="651A2DA0">
            <w:pPr>
              <w:jc w:val="left"/>
            </w:pPr>
          </w:p>
        </w:tc>
        <w:tc>
          <w:tcPr>
            <w:tcW w:w="1079" w:type="dxa"/>
            <w:vAlign w:val="top"/>
          </w:tcPr>
          <w:p w14:paraId="4052470F">
            <w:pPr>
              <w:jc w:val="left"/>
            </w:pPr>
            <w:r>
              <w:rPr>
                <w:rFonts w:ascii="仿宋_GB2312" w:hAnsi="仿宋"/>
                <w:sz w:val="24"/>
              </w:rPr>
              <w:t>2.7</w:t>
            </w:r>
          </w:p>
        </w:tc>
      </w:tr>
      <w:tr w14:paraId="6EAD10F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2D274929">
            <w:pPr>
              <w:jc w:val="left"/>
            </w:pPr>
            <w:r>
              <w:rPr>
                <w:rFonts w:ascii="仿宋_GB2312" w:hAnsi="仿宋"/>
                <w:sz w:val="24"/>
              </w:rPr>
              <w:t>安溪县</w:t>
            </w:r>
          </w:p>
        </w:tc>
        <w:tc>
          <w:tcPr>
            <w:tcW w:w="1187" w:type="dxa"/>
            <w:vAlign w:val="top"/>
          </w:tcPr>
          <w:p w14:paraId="2307FB63">
            <w:pPr>
              <w:jc w:val="left"/>
            </w:pPr>
            <w:r>
              <w:rPr>
                <w:rFonts w:ascii="仿宋_GB2312" w:hAnsi="仿宋"/>
                <w:sz w:val="24"/>
              </w:rPr>
              <w:t>1.8</w:t>
            </w:r>
          </w:p>
        </w:tc>
        <w:tc>
          <w:tcPr>
            <w:tcW w:w="1200" w:type="dxa"/>
            <w:vAlign w:val="top"/>
          </w:tcPr>
          <w:p w14:paraId="7FB98284">
            <w:pPr>
              <w:jc w:val="left"/>
            </w:pPr>
            <w:r>
              <w:rPr>
                <w:rFonts w:ascii="仿宋_GB2312" w:hAnsi="仿宋"/>
                <w:sz w:val="24"/>
              </w:rPr>
              <w:t>1.3</w:t>
            </w:r>
          </w:p>
        </w:tc>
        <w:tc>
          <w:tcPr>
            <w:tcW w:w="1415" w:type="dxa"/>
            <w:vAlign w:val="top"/>
          </w:tcPr>
          <w:p w14:paraId="5DD67F83">
            <w:pPr>
              <w:jc w:val="left"/>
            </w:pPr>
            <w:r>
              <w:rPr>
                <w:rFonts w:ascii="仿宋_GB2312" w:hAnsi="仿宋"/>
                <w:sz w:val="24"/>
              </w:rPr>
              <w:t>0.2</w:t>
            </w:r>
          </w:p>
        </w:tc>
        <w:tc>
          <w:tcPr>
            <w:tcW w:w="1364" w:type="dxa"/>
            <w:vAlign w:val="top"/>
          </w:tcPr>
          <w:p w14:paraId="324208F0">
            <w:pPr>
              <w:jc w:val="left"/>
            </w:pPr>
          </w:p>
        </w:tc>
        <w:tc>
          <w:tcPr>
            <w:tcW w:w="1079" w:type="dxa"/>
            <w:vAlign w:val="top"/>
          </w:tcPr>
          <w:p w14:paraId="2BDCB6F4">
            <w:pPr>
              <w:jc w:val="left"/>
            </w:pPr>
            <w:r>
              <w:rPr>
                <w:rFonts w:ascii="仿宋_GB2312" w:hAnsi="仿宋"/>
                <w:sz w:val="24"/>
              </w:rPr>
              <w:t>3.3</w:t>
            </w:r>
          </w:p>
        </w:tc>
      </w:tr>
      <w:tr w14:paraId="586206D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58495D20">
            <w:pPr>
              <w:jc w:val="left"/>
            </w:pPr>
            <w:r>
              <w:rPr>
                <w:rFonts w:ascii="仿宋_GB2312" w:hAnsi="仿宋"/>
                <w:sz w:val="24"/>
              </w:rPr>
              <w:t>永春县</w:t>
            </w:r>
          </w:p>
        </w:tc>
        <w:tc>
          <w:tcPr>
            <w:tcW w:w="1187" w:type="dxa"/>
            <w:vAlign w:val="top"/>
          </w:tcPr>
          <w:p w14:paraId="2D99F03C">
            <w:pPr>
              <w:jc w:val="left"/>
            </w:pPr>
            <w:r>
              <w:rPr>
                <w:rFonts w:ascii="仿宋_GB2312" w:hAnsi="仿宋"/>
                <w:sz w:val="24"/>
              </w:rPr>
              <w:t>0.6</w:t>
            </w:r>
          </w:p>
        </w:tc>
        <w:tc>
          <w:tcPr>
            <w:tcW w:w="1200" w:type="dxa"/>
            <w:vAlign w:val="top"/>
          </w:tcPr>
          <w:p w14:paraId="13738171">
            <w:pPr>
              <w:jc w:val="left"/>
            </w:pPr>
            <w:r>
              <w:rPr>
                <w:rFonts w:ascii="仿宋_GB2312" w:hAnsi="仿宋"/>
                <w:sz w:val="24"/>
              </w:rPr>
              <w:t>0.5</w:t>
            </w:r>
          </w:p>
        </w:tc>
        <w:tc>
          <w:tcPr>
            <w:tcW w:w="1415" w:type="dxa"/>
            <w:vAlign w:val="top"/>
          </w:tcPr>
          <w:p w14:paraId="7F687324">
            <w:pPr>
              <w:jc w:val="left"/>
            </w:pPr>
            <w:r>
              <w:rPr>
                <w:rFonts w:ascii="仿宋_GB2312" w:hAnsi="仿宋"/>
                <w:sz w:val="24"/>
              </w:rPr>
              <w:t>0.0</w:t>
            </w:r>
          </w:p>
        </w:tc>
        <w:tc>
          <w:tcPr>
            <w:tcW w:w="1364" w:type="dxa"/>
            <w:vAlign w:val="top"/>
          </w:tcPr>
          <w:p w14:paraId="3557541D">
            <w:pPr>
              <w:jc w:val="left"/>
            </w:pPr>
          </w:p>
        </w:tc>
        <w:tc>
          <w:tcPr>
            <w:tcW w:w="1079" w:type="dxa"/>
            <w:vAlign w:val="top"/>
          </w:tcPr>
          <w:p w14:paraId="3783A3AA">
            <w:pPr>
              <w:jc w:val="left"/>
            </w:pPr>
            <w:r>
              <w:rPr>
                <w:rFonts w:ascii="仿宋_GB2312" w:hAnsi="仿宋"/>
                <w:sz w:val="24"/>
              </w:rPr>
              <w:t>1.1</w:t>
            </w:r>
          </w:p>
        </w:tc>
      </w:tr>
      <w:tr w14:paraId="70DB52A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4B8B421F">
            <w:pPr>
              <w:jc w:val="left"/>
            </w:pPr>
            <w:r>
              <w:rPr>
                <w:rFonts w:ascii="仿宋_GB2312" w:hAnsi="仿宋"/>
                <w:sz w:val="24"/>
              </w:rPr>
              <w:t>德化县</w:t>
            </w:r>
          </w:p>
        </w:tc>
        <w:tc>
          <w:tcPr>
            <w:tcW w:w="1187" w:type="dxa"/>
            <w:vAlign w:val="top"/>
          </w:tcPr>
          <w:p w14:paraId="303C5421">
            <w:pPr>
              <w:jc w:val="left"/>
            </w:pPr>
            <w:r>
              <w:rPr>
                <w:rFonts w:ascii="仿宋_GB2312" w:hAnsi="仿宋"/>
                <w:sz w:val="24"/>
              </w:rPr>
              <w:t>×</w:t>
            </w:r>
          </w:p>
        </w:tc>
        <w:tc>
          <w:tcPr>
            <w:tcW w:w="1200" w:type="dxa"/>
            <w:vAlign w:val="top"/>
          </w:tcPr>
          <w:p w14:paraId="45356DD5">
            <w:pPr>
              <w:jc w:val="left"/>
            </w:pPr>
            <w:r>
              <w:rPr>
                <w:rFonts w:ascii="仿宋_GB2312" w:hAnsi="仿宋"/>
                <w:sz w:val="24"/>
              </w:rPr>
              <w:t>×</w:t>
            </w:r>
          </w:p>
        </w:tc>
        <w:tc>
          <w:tcPr>
            <w:tcW w:w="1415" w:type="dxa"/>
            <w:vAlign w:val="top"/>
          </w:tcPr>
          <w:p w14:paraId="11B84254">
            <w:pPr>
              <w:jc w:val="left"/>
            </w:pPr>
            <w:r>
              <w:rPr>
                <w:rFonts w:ascii="仿宋_GB2312" w:hAnsi="仿宋"/>
                <w:sz w:val="24"/>
              </w:rPr>
              <w:t>×</w:t>
            </w:r>
          </w:p>
        </w:tc>
        <w:tc>
          <w:tcPr>
            <w:tcW w:w="1364" w:type="dxa"/>
            <w:vAlign w:val="top"/>
          </w:tcPr>
          <w:p w14:paraId="777B5A95">
            <w:pPr>
              <w:jc w:val="left"/>
            </w:pPr>
          </w:p>
        </w:tc>
        <w:tc>
          <w:tcPr>
            <w:tcW w:w="1079" w:type="dxa"/>
            <w:vAlign w:val="top"/>
          </w:tcPr>
          <w:p w14:paraId="0EDDD5E9">
            <w:pPr>
              <w:jc w:val="left"/>
            </w:pPr>
            <w:r>
              <w:rPr>
                <w:rFonts w:ascii="仿宋_GB2312" w:hAnsi="仿宋"/>
                <w:sz w:val="24"/>
              </w:rPr>
              <w:t>×</w:t>
            </w:r>
          </w:p>
        </w:tc>
      </w:tr>
      <w:tr w14:paraId="6C195FC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69993FF9">
            <w:pPr>
              <w:jc w:val="left"/>
            </w:pPr>
            <w:r>
              <w:rPr>
                <w:rFonts w:ascii="仿宋_GB2312" w:hAnsi="仿宋"/>
                <w:b/>
                <w:sz w:val="24"/>
              </w:rPr>
              <w:t>漳州市</w:t>
            </w:r>
          </w:p>
        </w:tc>
        <w:tc>
          <w:tcPr>
            <w:tcW w:w="1187" w:type="dxa"/>
            <w:vAlign w:val="top"/>
          </w:tcPr>
          <w:p w14:paraId="4E382B35">
            <w:pPr>
              <w:jc w:val="left"/>
            </w:pPr>
            <w:r>
              <w:rPr>
                <w:rFonts w:ascii="仿宋_GB2312" w:hAnsi="仿宋"/>
                <w:sz w:val="24"/>
              </w:rPr>
              <w:t>5.3</w:t>
            </w:r>
          </w:p>
        </w:tc>
        <w:tc>
          <w:tcPr>
            <w:tcW w:w="1200" w:type="dxa"/>
            <w:vAlign w:val="top"/>
          </w:tcPr>
          <w:p w14:paraId="4960D14F">
            <w:pPr>
              <w:jc w:val="left"/>
            </w:pPr>
            <w:r>
              <w:rPr>
                <w:rFonts w:ascii="仿宋_GB2312" w:hAnsi="仿宋"/>
                <w:sz w:val="24"/>
              </w:rPr>
              <w:t>4.2</w:t>
            </w:r>
          </w:p>
        </w:tc>
        <w:tc>
          <w:tcPr>
            <w:tcW w:w="1415" w:type="dxa"/>
            <w:vAlign w:val="top"/>
          </w:tcPr>
          <w:p w14:paraId="75BFFCEE">
            <w:pPr>
              <w:jc w:val="left"/>
            </w:pPr>
            <w:r>
              <w:rPr>
                <w:rFonts w:ascii="仿宋_GB2312" w:hAnsi="仿宋"/>
                <w:sz w:val="24"/>
              </w:rPr>
              <w:t>5.1</w:t>
            </w:r>
          </w:p>
        </w:tc>
        <w:tc>
          <w:tcPr>
            <w:tcW w:w="1364" w:type="dxa"/>
            <w:vAlign w:val="top"/>
          </w:tcPr>
          <w:p w14:paraId="3ABE02F7">
            <w:pPr>
              <w:jc w:val="left"/>
            </w:pPr>
            <w:r>
              <w:rPr>
                <w:rFonts w:ascii="仿宋_GB2312" w:hAnsi="仿宋"/>
                <w:sz w:val="24"/>
              </w:rPr>
              <w:t>1.8</w:t>
            </w:r>
          </w:p>
        </w:tc>
        <w:tc>
          <w:tcPr>
            <w:tcW w:w="1079" w:type="dxa"/>
            <w:vAlign w:val="top"/>
          </w:tcPr>
          <w:p w14:paraId="6260C764">
            <w:pPr>
              <w:jc w:val="left"/>
            </w:pPr>
            <w:r>
              <w:rPr>
                <w:rFonts w:ascii="仿宋_GB2312" w:hAnsi="仿宋"/>
                <w:sz w:val="24"/>
              </w:rPr>
              <w:t>16.4</w:t>
            </w:r>
          </w:p>
        </w:tc>
      </w:tr>
      <w:tr w14:paraId="6FD73EE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13" w:hRule="atLeast"/>
          <w:jc w:val="center"/>
        </w:trPr>
        <w:tc>
          <w:tcPr>
            <w:tcW w:w="1267" w:type="dxa"/>
            <w:vAlign w:val="top"/>
          </w:tcPr>
          <w:p w14:paraId="2D7A3305">
            <w:pPr>
              <w:jc w:val="left"/>
            </w:pPr>
            <w:r>
              <w:rPr>
                <w:rFonts w:ascii="仿宋_GB2312" w:hAnsi="仿宋"/>
                <w:sz w:val="24"/>
              </w:rPr>
              <w:t>市区</w:t>
            </w:r>
          </w:p>
        </w:tc>
        <w:tc>
          <w:tcPr>
            <w:tcW w:w="1187" w:type="dxa"/>
            <w:vAlign w:val="top"/>
          </w:tcPr>
          <w:p w14:paraId="46DD4A61">
            <w:pPr>
              <w:jc w:val="left"/>
            </w:pPr>
            <w:r>
              <w:rPr>
                <w:rFonts w:ascii="仿宋_GB2312" w:hAnsi="仿宋"/>
                <w:sz w:val="24"/>
              </w:rPr>
              <w:t>1.3</w:t>
            </w:r>
          </w:p>
        </w:tc>
        <w:tc>
          <w:tcPr>
            <w:tcW w:w="1200" w:type="dxa"/>
            <w:vAlign w:val="top"/>
          </w:tcPr>
          <w:p w14:paraId="1FC445F7">
            <w:pPr>
              <w:jc w:val="left"/>
            </w:pPr>
            <w:r>
              <w:rPr>
                <w:rFonts w:ascii="仿宋_GB2312" w:hAnsi="仿宋"/>
                <w:sz w:val="24"/>
              </w:rPr>
              <w:t>1.1</w:t>
            </w:r>
          </w:p>
        </w:tc>
        <w:tc>
          <w:tcPr>
            <w:tcW w:w="1415" w:type="dxa"/>
            <w:vAlign w:val="top"/>
          </w:tcPr>
          <w:p w14:paraId="5637E194">
            <w:pPr>
              <w:jc w:val="left"/>
            </w:pPr>
            <w:r>
              <w:rPr>
                <w:rFonts w:ascii="仿宋_GB2312" w:hAnsi="仿宋"/>
                <w:sz w:val="24"/>
              </w:rPr>
              <w:t>1.2</w:t>
            </w:r>
          </w:p>
        </w:tc>
        <w:tc>
          <w:tcPr>
            <w:tcW w:w="1364" w:type="dxa"/>
            <w:vAlign w:val="top"/>
          </w:tcPr>
          <w:p w14:paraId="37220F28">
            <w:pPr>
              <w:jc w:val="left"/>
            </w:pPr>
          </w:p>
        </w:tc>
        <w:tc>
          <w:tcPr>
            <w:tcW w:w="1079" w:type="dxa"/>
            <w:vAlign w:val="top"/>
          </w:tcPr>
          <w:p w14:paraId="1D5AC442">
            <w:pPr>
              <w:jc w:val="left"/>
            </w:pPr>
            <w:r>
              <w:rPr>
                <w:rFonts w:ascii="仿宋_GB2312" w:hAnsi="仿宋"/>
                <w:sz w:val="24"/>
              </w:rPr>
              <w:t>3.6</w:t>
            </w:r>
          </w:p>
        </w:tc>
      </w:tr>
      <w:tr w14:paraId="420178B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7DECDCE5">
            <w:pPr>
              <w:jc w:val="left"/>
            </w:pPr>
            <w:r>
              <w:rPr>
                <w:rFonts w:ascii="仿宋_GB2312" w:hAnsi="仿宋"/>
                <w:sz w:val="24"/>
              </w:rPr>
              <w:t>龙海市</w:t>
            </w:r>
          </w:p>
        </w:tc>
        <w:tc>
          <w:tcPr>
            <w:tcW w:w="1187" w:type="dxa"/>
            <w:vAlign w:val="top"/>
          </w:tcPr>
          <w:p w14:paraId="21DDB11B">
            <w:pPr>
              <w:jc w:val="left"/>
            </w:pPr>
            <w:r>
              <w:rPr>
                <w:rFonts w:ascii="仿宋_GB2312" w:hAnsi="仿宋"/>
                <w:sz w:val="24"/>
              </w:rPr>
              <w:t>1.4</w:t>
            </w:r>
          </w:p>
        </w:tc>
        <w:tc>
          <w:tcPr>
            <w:tcW w:w="1200" w:type="dxa"/>
            <w:vAlign w:val="top"/>
          </w:tcPr>
          <w:p w14:paraId="43BAB26A">
            <w:pPr>
              <w:jc w:val="left"/>
            </w:pPr>
            <w:r>
              <w:rPr>
                <w:rFonts w:ascii="仿宋_GB2312" w:hAnsi="仿宋"/>
                <w:sz w:val="24"/>
              </w:rPr>
              <w:t>1.0</w:t>
            </w:r>
          </w:p>
        </w:tc>
        <w:tc>
          <w:tcPr>
            <w:tcW w:w="1415" w:type="dxa"/>
            <w:vAlign w:val="top"/>
          </w:tcPr>
          <w:p w14:paraId="58E6D053">
            <w:pPr>
              <w:jc w:val="left"/>
            </w:pPr>
            <w:r>
              <w:rPr>
                <w:rFonts w:ascii="仿宋_GB2312" w:hAnsi="仿宋"/>
                <w:sz w:val="24"/>
              </w:rPr>
              <w:t>2.4</w:t>
            </w:r>
          </w:p>
        </w:tc>
        <w:tc>
          <w:tcPr>
            <w:tcW w:w="1364" w:type="dxa"/>
            <w:vAlign w:val="top"/>
          </w:tcPr>
          <w:p w14:paraId="2F8DB6A2">
            <w:pPr>
              <w:jc w:val="left"/>
            </w:pPr>
          </w:p>
        </w:tc>
        <w:tc>
          <w:tcPr>
            <w:tcW w:w="1079" w:type="dxa"/>
            <w:vAlign w:val="top"/>
          </w:tcPr>
          <w:p w14:paraId="71A1A777">
            <w:pPr>
              <w:jc w:val="left"/>
            </w:pPr>
            <w:r>
              <w:rPr>
                <w:rFonts w:ascii="仿宋_GB2312" w:hAnsi="仿宋"/>
                <w:sz w:val="24"/>
              </w:rPr>
              <w:t>4.8</w:t>
            </w:r>
          </w:p>
        </w:tc>
      </w:tr>
      <w:tr w14:paraId="46AD7ED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5E41BF6E">
            <w:pPr>
              <w:jc w:val="left"/>
            </w:pPr>
            <w:r>
              <w:rPr>
                <w:rFonts w:ascii="仿宋_GB2312" w:hAnsi="仿宋"/>
                <w:sz w:val="24"/>
              </w:rPr>
              <w:t>云霄县</w:t>
            </w:r>
          </w:p>
        </w:tc>
        <w:tc>
          <w:tcPr>
            <w:tcW w:w="1187" w:type="dxa"/>
            <w:vAlign w:val="top"/>
          </w:tcPr>
          <w:p w14:paraId="0E19A2F0">
            <w:pPr>
              <w:jc w:val="left"/>
            </w:pPr>
            <w:r>
              <w:rPr>
                <w:rFonts w:ascii="仿宋_GB2312" w:hAnsi="仿宋"/>
                <w:sz w:val="24"/>
              </w:rPr>
              <w:t>0.2</w:t>
            </w:r>
          </w:p>
        </w:tc>
        <w:tc>
          <w:tcPr>
            <w:tcW w:w="1200" w:type="dxa"/>
            <w:vAlign w:val="top"/>
          </w:tcPr>
          <w:p w14:paraId="46455F7C">
            <w:pPr>
              <w:jc w:val="left"/>
            </w:pPr>
            <w:r>
              <w:rPr>
                <w:rFonts w:ascii="仿宋_GB2312" w:hAnsi="仿宋"/>
                <w:sz w:val="24"/>
              </w:rPr>
              <w:t>0.1</w:t>
            </w:r>
          </w:p>
        </w:tc>
        <w:tc>
          <w:tcPr>
            <w:tcW w:w="1415" w:type="dxa"/>
            <w:vAlign w:val="top"/>
          </w:tcPr>
          <w:p w14:paraId="63E6F8DA">
            <w:pPr>
              <w:jc w:val="left"/>
            </w:pPr>
            <w:r>
              <w:rPr>
                <w:rFonts w:ascii="仿宋_GB2312" w:hAnsi="仿宋"/>
                <w:sz w:val="24"/>
              </w:rPr>
              <w:t>0.1</w:t>
            </w:r>
          </w:p>
        </w:tc>
        <w:tc>
          <w:tcPr>
            <w:tcW w:w="1364" w:type="dxa"/>
            <w:vAlign w:val="top"/>
          </w:tcPr>
          <w:p w14:paraId="4575CEC2">
            <w:pPr>
              <w:jc w:val="left"/>
            </w:pPr>
          </w:p>
        </w:tc>
        <w:tc>
          <w:tcPr>
            <w:tcW w:w="1079" w:type="dxa"/>
            <w:vAlign w:val="top"/>
          </w:tcPr>
          <w:p w14:paraId="408AEBBD">
            <w:pPr>
              <w:jc w:val="left"/>
            </w:pPr>
            <w:r>
              <w:rPr>
                <w:rFonts w:ascii="仿宋_GB2312" w:hAnsi="仿宋"/>
                <w:sz w:val="24"/>
              </w:rPr>
              <w:t>0.4</w:t>
            </w:r>
          </w:p>
        </w:tc>
      </w:tr>
      <w:tr w14:paraId="7AADADC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258575A0">
            <w:pPr>
              <w:jc w:val="left"/>
            </w:pPr>
            <w:r>
              <w:rPr>
                <w:rFonts w:ascii="仿宋_GB2312" w:hAnsi="仿宋"/>
                <w:sz w:val="24"/>
              </w:rPr>
              <w:t>漳浦县</w:t>
            </w:r>
          </w:p>
        </w:tc>
        <w:tc>
          <w:tcPr>
            <w:tcW w:w="1187" w:type="dxa"/>
            <w:vAlign w:val="top"/>
          </w:tcPr>
          <w:p w14:paraId="743AF24F">
            <w:pPr>
              <w:jc w:val="left"/>
            </w:pPr>
            <w:r>
              <w:rPr>
                <w:rFonts w:ascii="仿宋_GB2312" w:hAnsi="仿宋"/>
                <w:sz w:val="24"/>
              </w:rPr>
              <w:t>0.9</w:t>
            </w:r>
          </w:p>
        </w:tc>
        <w:tc>
          <w:tcPr>
            <w:tcW w:w="1200" w:type="dxa"/>
            <w:vAlign w:val="top"/>
          </w:tcPr>
          <w:p w14:paraId="7EE50D83">
            <w:pPr>
              <w:jc w:val="left"/>
            </w:pPr>
            <w:r>
              <w:rPr>
                <w:rFonts w:ascii="仿宋_GB2312" w:hAnsi="仿宋"/>
                <w:sz w:val="24"/>
              </w:rPr>
              <w:t>0.8</w:t>
            </w:r>
          </w:p>
        </w:tc>
        <w:tc>
          <w:tcPr>
            <w:tcW w:w="1415" w:type="dxa"/>
            <w:vAlign w:val="top"/>
          </w:tcPr>
          <w:p w14:paraId="333313B2">
            <w:pPr>
              <w:jc w:val="left"/>
            </w:pPr>
            <w:r>
              <w:rPr>
                <w:rFonts w:ascii="仿宋_GB2312" w:hAnsi="仿宋"/>
                <w:sz w:val="24"/>
              </w:rPr>
              <w:t>0.8</w:t>
            </w:r>
          </w:p>
        </w:tc>
        <w:tc>
          <w:tcPr>
            <w:tcW w:w="1364" w:type="dxa"/>
            <w:vAlign w:val="top"/>
          </w:tcPr>
          <w:p w14:paraId="480D1383">
            <w:pPr>
              <w:jc w:val="left"/>
            </w:pPr>
          </w:p>
        </w:tc>
        <w:tc>
          <w:tcPr>
            <w:tcW w:w="1079" w:type="dxa"/>
            <w:vAlign w:val="top"/>
          </w:tcPr>
          <w:p w14:paraId="1D4C555B">
            <w:pPr>
              <w:jc w:val="left"/>
            </w:pPr>
            <w:r>
              <w:rPr>
                <w:rFonts w:ascii="仿宋_GB2312" w:hAnsi="仿宋"/>
                <w:sz w:val="24"/>
              </w:rPr>
              <w:t>2.5</w:t>
            </w:r>
          </w:p>
        </w:tc>
      </w:tr>
      <w:tr w14:paraId="7D6C8A4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23FBBF81">
            <w:pPr>
              <w:jc w:val="left"/>
            </w:pPr>
            <w:r>
              <w:rPr>
                <w:rFonts w:ascii="仿宋_GB2312" w:hAnsi="仿宋"/>
                <w:sz w:val="24"/>
              </w:rPr>
              <w:t>诏安县</w:t>
            </w:r>
          </w:p>
        </w:tc>
        <w:tc>
          <w:tcPr>
            <w:tcW w:w="1187" w:type="dxa"/>
            <w:vAlign w:val="top"/>
          </w:tcPr>
          <w:p w14:paraId="3ADC44EF">
            <w:pPr>
              <w:jc w:val="left"/>
            </w:pPr>
            <w:r>
              <w:rPr>
                <w:rFonts w:ascii="仿宋_GB2312" w:hAnsi="仿宋"/>
                <w:sz w:val="24"/>
              </w:rPr>
              <w:t>0.7</w:t>
            </w:r>
          </w:p>
        </w:tc>
        <w:tc>
          <w:tcPr>
            <w:tcW w:w="1200" w:type="dxa"/>
            <w:vAlign w:val="top"/>
          </w:tcPr>
          <w:p w14:paraId="4802DED9">
            <w:pPr>
              <w:jc w:val="left"/>
            </w:pPr>
            <w:r>
              <w:rPr>
                <w:rFonts w:ascii="仿宋_GB2312" w:hAnsi="仿宋"/>
                <w:sz w:val="24"/>
              </w:rPr>
              <w:t>0.6</w:t>
            </w:r>
          </w:p>
        </w:tc>
        <w:tc>
          <w:tcPr>
            <w:tcW w:w="1415" w:type="dxa"/>
            <w:vAlign w:val="top"/>
          </w:tcPr>
          <w:p w14:paraId="4E4EAE46">
            <w:pPr>
              <w:jc w:val="left"/>
            </w:pPr>
            <w:r>
              <w:rPr>
                <w:rFonts w:ascii="仿宋_GB2312" w:hAnsi="仿宋"/>
                <w:sz w:val="24"/>
              </w:rPr>
              <w:t>0.1</w:t>
            </w:r>
          </w:p>
        </w:tc>
        <w:tc>
          <w:tcPr>
            <w:tcW w:w="1364" w:type="dxa"/>
            <w:vAlign w:val="top"/>
          </w:tcPr>
          <w:p w14:paraId="1FD81030">
            <w:pPr>
              <w:jc w:val="left"/>
            </w:pPr>
          </w:p>
        </w:tc>
        <w:tc>
          <w:tcPr>
            <w:tcW w:w="1079" w:type="dxa"/>
            <w:vAlign w:val="top"/>
          </w:tcPr>
          <w:p w14:paraId="082ED7B1">
            <w:pPr>
              <w:jc w:val="left"/>
            </w:pPr>
            <w:r>
              <w:rPr>
                <w:rFonts w:ascii="仿宋_GB2312" w:hAnsi="仿宋"/>
                <w:sz w:val="24"/>
              </w:rPr>
              <w:t>1.4</w:t>
            </w:r>
          </w:p>
        </w:tc>
      </w:tr>
      <w:tr w14:paraId="0EC93DE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437" w:hRule="atLeast"/>
          <w:jc w:val="center"/>
        </w:trPr>
        <w:tc>
          <w:tcPr>
            <w:tcW w:w="1267" w:type="dxa"/>
            <w:vAlign w:val="top"/>
          </w:tcPr>
          <w:p w14:paraId="6E05C086">
            <w:pPr>
              <w:jc w:val="left"/>
            </w:pPr>
            <w:r>
              <w:rPr>
                <w:rFonts w:ascii="仿宋_GB2312" w:hAnsi="仿宋"/>
                <w:sz w:val="24"/>
              </w:rPr>
              <w:t>长泰县</w:t>
            </w:r>
          </w:p>
        </w:tc>
        <w:tc>
          <w:tcPr>
            <w:tcW w:w="1187" w:type="dxa"/>
            <w:vAlign w:val="top"/>
          </w:tcPr>
          <w:p w14:paraId="068B77EA">
            <w:pPr>
              <w:jc w:val="left"/>
            </w:pPr>
            <w:r>
              <w:rPr>
                <w:rFonts w:ascii="仿宋_GB2312" w:hAnsi="仿宋"/>
                <w:sz w:val="24"/>
              </w:rPr>
              <w:t>×</w:t>
            </w:r>
          </w:p>
        </w:tc>
        <w:tc>
          <w:tcPr>
            <w:tcW w:w="1200" w:type="dxa"/>
            <w:vAlign w:val="top"/>
          </w:tcPr>
          <w:p w14:paraId="3D9CA0B7">
            <w:pPr>
              <w:jc w:val="left"/>
            </w:pPr>
            <w:r>
              <w:rPr>
                <w:rFonts w:ascii="仿宋_GB2312" w:hAnsi="仿宋"/>
                <w:sz w:val="24"/>
              </w:rPr>
              <w:t>×</w:t>
            </w:r>
          </w:p>
        </w:tc>
        <w:tc>
          <w:tcPr>
            <w:tcW w:w="1415" w:type="dxa"/>
            <w:vAlign w:val="top"/>
          </w:tcPr>
          <w:p w14:paraId="47699B38">
            <w:pPr>
              <w:jc w:val="left"/>
            </w:pPr>
            <w:r>
              <w:rPr>
                <w:rFonts w:ascii="仿宋_GB2312" w:hAnsi="仿宋"/>
                <w:sz w:val="24"/>
              </w:rPr>
              <w:t>×</w:t>
            </w:r>
          </w:p>
        </w:tc>
        <w:tc>
          <w:tcPr>
            <w:tcW w:w="1364" w:type="dxa"/>
            <w:vAlign w:val="top"/>
          </w:tcPr>
          <w:p w14:paraId="55283348">
            <w:pPr>
              <w:jc w:val="left"/>
            </w:pPr>
          </w:p>
        </w:tc>
        <w:tc>
          <w:tcPr>
            <w:tcW w:w="1079" w:type="dxa"/>
            <w:vAlign w:val="top"/>
          </w:tcPr>
          <w:p w14:paraId="5A5843AD">
            <w:pPr>
              <w:jc w:val="left"/>
            </w:pPr>
            <w:r>
              <w:rPr>
                <w:rFonts w:ascii="仿宋_GB2312" w:hAnsi="仿宋"/>
                <w:sz w:val="24"/>
              </w:rPr>
              <w:t>×</w:t>
            </w:r>
          </w:p>
        </w:tc>
      </w:tr>
      <w:tr w14:paraId="2157E3F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E0FEB93">
            <w:pPr>
              <w:jc w:val="left"/>
            </w:pPr>
            <w:r>
              <w:rPr>
                <w:rFonts w:ascii="仿宋_GB2312" w:hAnsi="仿宋"/>
                <w:sz w:val="24"/>
              </w:rPr>
              <w:t>东山县</w:t>
            </w:r>
          </w:p>
        </w:tc>
        <w:tc>
          <w:tcPr>
            <w:tcW w:w="1187" w:type="dxa"/>
            <w:vAlign w:val="top"/>
          </w:tcPr>
          <w:p w14:paraId="7259266C">
            <w:pPr>
              <w:jc w:val="left"/>
            </w:pPr>
            <w:r>
              <w:rPr>
                <w:rFonts w:ascii="仿宋_GB2312" w:hAnsi="仿宋"/>
                <w:sz w:val="24"/>
              </w:rPr>
              <w:t>×</w:t>
            </w:r>
          </w:p>
        </w:tc>
        <w:tc>
          <w:tcPr>
            <w:tcW w:w="1200" w:type="dxa"/>
            <w:vAlign w:val="top"/>
          </w:tcPr>
          <w:p w14:paraId="39C7A899">
            <w:pPr>
              <w:jc w:val="left"/>
            </w:pPr>
            <w:r>
              <w:rPr>
                <w:rFonts w:ascii="仿宋_GB2312" w:hAnsi="仿宋"/>
                <w:sz w:val="24"/>
              </w:rPr>
              <w:t>×</w:t>
            </w:r>
          </w:p>
        </w:tc>
        <w:tc>
          <w:tcPr>
            <w:tcW w:w="1415" w:type="dxa"/>
            <w:vAlign w:val="top"/>
          </w:tcPr>
          <w:p w14:paraId="4F46E603">
            <w:pPr>
              <w:jc w:val="left"/>
            </w:pPr>
            <w:r>
              <w:rPr>
                <w:rFonts w:ascii="仿宋_GB2312" w:hAnsi="仿宋"/>
                <w:sz w:val="24"/>
              </w:rPr>
              <w:t>×</w:t>
            </w:r>
          </w:p>
        </w:tc>
        <w:tc>
          <w:tcPr>
            <w:tcW w:w="1364" w:type="dxa"/>
            <w:vAlign w:val="top"/>
          </w:tcPr>
          <w:p w14:paraId="7A4626BA">
            <w:pPr>
              <w:jc w:val="left"/>
            </w:pPr>
          </w:p>
        </w:tc>
        <w:tc>
          <w:tcPr>
            <w:tcW w:w="1079" w:type="dxa"/>
            <w:vAlign w:val="top"/>
          </w:tcPr>
          <w:p w14:paraId="536D5789">
            <w:pPr>
              <w:jc w:val="left"/>
            </w:pPr>
            <w:r>
              <w:rPr>
                <w:rFonts w:ascii="仿宋_GB2312" w:hAnsi="仿宋"/>
                <w:sz w:val="24"/>
              </w:rPr>
              <w:t>×</w:t>
            </w:r>
          </w:p>
        </w:tc>
      </w:tr>
      <w:tr w14:paraId="7EF0BA9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DB439A0">
            <w:pPr>
              <w:jc w:val="left"/>
            </w:pPr>
            <w:r>
              <w:rPr>
                <w:rFonts w:ascii="仿宋_GB2312" w:hAnsi="仿宋"/>
                <w:sz w:val="24"/>
              </w:rPr>
              <w:t>南靖县</w:t>
            </w:r>
          </w:p>
        </w:tc>
        <w:tc>
          <w:tcPr>
            <w:tcW w:w="1187" w:type="dxa"/>
            <w:vAlign w:val="top"/>
          </w:tcPr>
          <w:p w14:paraId="58DA1C88">
            <w:pPr>
              <w:jc w:val="left"/>
            </w:pPr>
            <w:r>
              <w:rPr>
                <w:rFonts w:ascii="仿宋_GB2312" w:hAnsi="仿宋"/>
                <w:sz w:val="24"/>
              </w:rPr>
              <w:t>0.2</w:t>
            </w:r>
          </w:p>
        </w:tc>
        <w:tc>
          <w:tcPr>
            <w:tcW w:w="1200" w:type="dxa"/>
            <w:vAlign w:val="top"/>
          </w:tcPr>
          <w:p w14:paraId="6AC8E10E">
            <w:pPr>
              <w:jc w:val="left"/>
            </w:pPr>
            <w:r>
              <w:rPr>
                <w:rFonts w:ascii="仿宋_GB2312" w:hAnsi="仿宋"/>
                <w:sz w:val="24"/>
              </w:rPr>
              <w:t>0.1</w:t>
            </w:r>
          </w:p>
        </w:tc>
        <w:tc>
          <w:tcPr>
            <w:tcW w:w="1415" w:type="dxa"/>
            <w:vAlign w:val="top"/>
          </w:tcPr>
          <w:p w14:paraId="55FD1EE9">
            <w:pPr>
              <w:jc w:val="left"/>
            </w:pPr>
            <w:r>
              <w:rPr>
                <w:rFonts w:ascii="仿宋_GB2312" w:hAnsi="仿宋"/>
                <w:sz w:val="24"/>
              </w:rPr>
              <w:t>0.1</w:t>
            </w:r>
          </w:p>
        </w:tc>
        <w:tc>
          <w:tcPr>
            <w:tcW w:w="1364" w:type="dxa"/>
            <w:vAlign w:val="top"/>
          </w:tcPr>
          <w:p w14:paraId="5C0B95B8">
            <w:pPr>
              <w:jc w:val="left"/>
            </w:pPr>
          </w:p>
        </w:tc>
        <w:tc>
          <w:tcPr>
            <w:tcW w:w="1079" w:type="dxa"/>
            <w:vAlign w:val="top"/>
          </w:tcPr>
          <w:p w14:paraId="50AFB75D">
            <w:pPr>
              <w:jc w:val="left"/>
            </w:pPr>
            <w:r>
              <w:rPr>
                <w:rFonts w:ascii="仿宋_GB2312" w:hAnsi="仿宋"/>
                <w:sz w:val="24"/>
              </w:rPr>
              <w:t>0.4</w:t>
            </w:r>
          </w:p>
        </w:tc>
      </w:tr>
      <w:tr w14:paraId="0628E8E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5C134362">
            <w:pPr>
              <w:jc w:val="left"/>
            </w:pPr>
            <w:r>
              <w:rPr>
                <w:rFonts w:ascii="仿宋_GB2312" w:hAnsi="仿宋"/>
                <w:sz w:val="24"/>
              </w:rPr>
              <w:t>平和县</w:t>
            </w:r>
          </w:p>
        </w:tc>
        <w:tc>
          <w:tcPr>
            <w:tcW w:w="1187" w:type="dxa"/>
            <w:vAlign w:val="top"/>
          </w:tcPr>
          <w:p w14:paraId="29A8B0F1">
            <w:pPr>
              <w:jc w:val="left"/>
            </w:pPr>
            <w:r>
              <w:rPr>
                <w:rFonts w:ascii="仿宋_GB2312" w:hAnsi="仿宋"/>
                <w:sz w:val="24"/>
              </w:rPr>
              <w:t>0.6</w:t>
            </w:r>
          </w:p>
        </w:tc>
        <w:tc>
          <w:tcPr>
            <w:tcW w:w="1200" w:type="dxa"/>
            <w:vAlign w:val="top"/>
          </w:tcPr>
          <w:p w14:paraId="1233DD8F">
            <w:pPr>
              <w:jc w:val="left"/>
            </w:pPr>
            <w:r>
              <w:rPr>
                <w:rFonts w:ascii="仿宋_GB2312" w:hAnsi="仿宋"/>
                <w:sz w:val="24"/>
              </w:rPr>
              <w:t>0.5</w:t>
            </w:r>
          </w:p>
        </w:tc>
        <w:tc>
          <w:tcPr>
            <w:tcW w:w="1415" w:type="dxa"/>
            <w:vAlign w:val="top"/>
          </w:tcPr>
          <w:p w14:paraId="4BEB43A6">
            <w:pPr>
              <w:jc w:val="left"/>
            </w:pPr>
            <w:r>
              <w:rPr>
                <w:rFonts w:ascii="仿宋_GB2312" w:hAnsi="仿宋"/>
                <w:sz w:val="24"/>
              </w:rPr>
              <w:t>0.3</w:t>
            </w:r>
          </w:p>
        </w:tc>
        <w:tc>
          <w:tcPr>
            <w:tcW w:w="1364" w:type="dxa"/>
            <w:vAlign w:val="top"/>
          </w:tcPr>
          <w:p w14:paraId="3C2F6FBA">
            <w:pPr>
              <w:jc w:val="left"/>
            </w:pPr>
          </w:p>
        </w:tc>
        <w:tc>
          <w:tcPr>
            <w:tcW w:w="1079" w:type="dxa"/>
            <w:vAlign w:val="top"/>
          </w:tcPr>
          <w:p w14:paraId="702A77B0">
            <w:pPr>
              <w:jc w:val="left"/>
            </w:pPr>
            <w:r>
              <w:rPr>
                <w:rFonts w:ascii="仿宋_GB2312" w:hAnsi="仿宋"/>
                <w:sz w:val="24"/>
              </w:rPr>
              <w:t>1.4</w:t>
            </w:r>
          </w:p>
        </w:tc>
      </w:tr>
      <w:tr w14:paraId="1161BDD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5A6247A">
            <w:pPr>
              <w:jc w:val="left"/>
            </w:pPr>
            <w:r>
              <w:rPr>
                <w:rFonts w:ascii="仿宋_GB2312" w:hAnsi="仿宋"/>
                <w:sz w:val="24"/>
              </w:rPr>
              <w:t>华安县</w:t>
            </w:r>
          </w:p>
        </w:tc>
        <w:tc>
          <w:tcPr>
            <w:tcW w:w="1187" w:type="dxa"/>
            <w:vAlign w:val="top"/>
          </w:tcPr>
          <w:p w14:paraId="69295C37">
            <w:pPr>
              <w:jc w:val="left"/>
            </w:pPr>
            <w:r>
              <w:rPr>
                <w:rFonts w:ascii="仿宋_GB2312" w:hAnsi="仿宋"/>
                <w:sz w:val="24"/>
              </w:rPr>
              <w:t>×</w:t>
            </w:r>
          </w:p>
        </w:tc>
        <w:tc>
          <w:tcPr>
            <w:tcW w:w="1200" w:type="dxa"/>
            <w:vAlign w:val="top"/>
          </w:tcPr>
          <w:p w14:paraId="52D910AA">
            <w:pPr>
              <w:jc w:val="left"/>
            </w:pPr>
            <w:r>
              <w:rPr>
                <w:rFonts w:ascii="仿宋_GB2312" w:hAnsi="仿宋"/>
                <w:sz w:val="24"/>
              </w:rPr>
              <w:t>×</w:t>
            </w:r>
          </w:p>
        </w:tc>
        <w:tc>
          <w:tcPr>
            <w:tcW w:w="1415" w:type="dxa"/>
            <w:vAlign w:val="top"/>
          </w:tcPr>
          <w:p w14:paraId="1BE29482">
            <w:pPr>
              <w:jc w:val="left"/>
            </w:pPr>
            <w:r>
              <w:rPr>
                <w:rFonts w:ascii="仿宋_GB2312" w:hAnsi="仿宋"/>
                <w:sz w:val="24"/>
              </w:rPr>
              <w:t>×</w:t>
            </w:r>
          </w:p>
        </w:tc>
        <w:tc>
          <w:tcPr>
            <w:tcW w:w="1364" w:type="dxa"/>
            <w:vAlign w:val="top"/>
          </w:tcPr>
          <w:p w14:paraId="69CDB5DE">
            <w:pPr>
              <w:jc w:val="left"/>
            </w:pPr>
          </w:p>
        </w:tc>
        <w:tc>
          <w:tcPr>
            <w:tcW w:w="1079" w:type="dxa"/>
            <w:vAlign w:val="top"/>
          </w:tcPr>
          <w:p w14:paraId="39CD5B06">
            <w:pPr>
              <w:jc w:val="left"/>
            </w:pPr>
            <w:r>
              <w:rPr>
                <w:rFonts w:ascii="仿宋_GB2312" w:hAnsi="仿宋"/>
                <w:sz w:val="24"/>
              </w:rPr>
              <w:t>×</w:t>
            </w:r>
          </w:p>
        </w:tc>
      </w:tr>
      <w:tr w14:paraId="74DFF73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5D7ED72D">
            <w:pPr>
              <w:jc w:val="left"/>
            </w:pPr>
            <w:r>
              <w:rPr>
                <w:rFonts w:ascii="仿宋_GB2312" w:hAnsi="仿宋"/>
                <w:b/>
                <w:sz w:val="24"/>
              </w:rPr>
              <w:t>南平市</w:t>
            </w:r>
          </w:p>
        </w:tc>
        <w:tc>
          <w:tcPr>
            <w:tcW w:w="1187" w:type="dxa"/>
            <w:vAlign w:val="top"/>
          </w:tcPr>
          <w:p w14:paraId="35571BAE">
            <w:pPr>
              <w:jc w:val="left"/>
            </w:pPr>
            <w:r>
              <w:rPr>
                <w:rFonts w:ascii="仿宋_GB2312" w:hAnsi="仿宋"/>
                <w:sz w:val="24"/>
              </w:rPr>
              <w:t>2.4</w:t>
            </w:r>
          </w:p>
        </w:tc>
        <w:tc>
          <w:tcPr>
            <w:tcW w:w="1200" w:type="dxa"/>
            <w:vAlign w:val="top"/>
          </w:tcPr>
          <w:p w14:paraId="08641B03">
            <w:pPr>
              <w:jc w:val="left"/>
            </w:pPr>
            <w:r>
              <w:rPr>
                <w:rFonts w:ascii="仿宋_GB2312" w:hAnsi="仿宋"/>
                <w:sz w:val="24"/>
              </w:rPr>
              <w:t>1.2</w:t>
            </w:r>
          </w:p>
        </w:tc>
        <w:tc>
          <w:tcPr>
            <w:tcW w:w="1415" w:type="dxa"/>
            <w:vAlign w:val="top"/>
          </w:tcPr>
          <w:p w14:paraId="59723892">
            <w:pPr>
              <w:jc w:val="left"/>
            </w:pPr>
            <w:r>
              <w:rPr>
                <w:rFonts w:ascii="仿宋_GB2312" w:hAnsi="仿宋"/>
                <w:sz w:val="24"/>
              </w:rPr>
              <w:t>5.7</w:t>
            </w:r>
          </w:p>
        </w:tc>
        <w:tc>
          <w:tcPr>
            <w:tcW w:w="1364" w:type="dxa"/>
            <w:vAlign w:val="top"/>
          </w:tcPr>
          <w:p w14:paraId="65BEAE52">
            <w:pPr>
              <w:jc w:val="left"/>
            </w:pPr>
            <w:r>
              <w:rPr>
                <w:rFonts w:ascii="仿宋_GB2312" w:hAnsi="仿宋"/>
                <w:sz w:val="24"/>
              </w:rPr>
              <w:t>0.4</w:t>
            </w:r>
          </w:p>
        </w:tc>
        <w:tc>
          <w:tcPr>
            <w:tcW w:w="1079" w:type="dxa"/>
            <w:vAlign w:val="top"/>
          </w:tcPr>
          <w:p w14:paraId="7F5E9E4F">
            <w:pPr>
              <w:jc w:val="left"/>
            </w:pPr>
            <w:r>
              <w:rPr>
                <w:rFonts w:ascii="仿宋_GB2312" w:hAnsi="仿宋"/>
                <w:sz w:val="24"/>
              </w:rPr>
              <w:t>9.7</w:t>
            </w:r>
          </w:p>
        </w:tc>
      </w:tr>
      <w:tr w14:paraId="6BF990E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5663CC0">
            <w:pPr>
              <w:jc w:val="left"/>
            </w:pPr>
            <w:r>
              <w:rPr>
                <w:rFonts w:ascii="仿宋_GB2312" w:hAnsi="仿宋"/>
                <w:sz w:val="24"/>
              </w:rPr>
              <w:t>市区</w:t>
            </w:r>
          </w:p>
        </w:tc>
        <w:tc>
          <w:tcPr>
            <w:tcW w:w="1187" w:type="dxa"/>
            <w:vAlign w:val="top"/>
          </w:tcPr>
          <w:p w14:paraId="1B895FE4">
            <w:pPr>
              <w:jc w:val="left"/>
            </w:pPr>
            <w:r>
              <w:rPr>
                <w:rFonts w:ascii="仿宋_GB2312" w:hAnsi="仿宋"/>
                <w:sz w:val="24"/>
              </w:rPr>
              <w:t>0.7</w:t>
            </w:r>
          </w:p>
        </w:tc>
        <w:tc>
          <w:tcPr>
            <w:tcW w:w="1200" w:type="dxa"/>
            <w:vAlign w:val="top"/>
          </w:tcPr>
          <w:p w14:paraId="1EB9410F">
            <w:pPr>
              <w:jc w:val="left"/>
            </w:pPr>
            <w:r>
              <w:rPr>
                <w:rFonts w:ascii="仿宋_GB2312" w:hAnsi="仿宋"/>
                <w:sz w:val="24"/>
              </w:rPr>
              <w:t>0.4</w:t>
            </w:r>
          </w:p>
        </w:tc>
        <w:tc>
          <w:tcPr>
            <w:tcW w:w="1415" w:type="dxa"/>
            <w:vAlign w:val="top"/>
          </w:tcPr>
          <w:p w14:paraId="7E15683A">
            <w:pPr>
              <w:jc w:val="left"/>
            </w:pPr>
            <w:r>
              <w:rPr>
                <w:rFonts w:ascii="仿宋_GB2312" w:hAnsi="仿宋"/>
                <w:sz w:val="24"/>
              </w:rPr>
              <w:t>2.0</w:t>
            </w:r>
          </w:p>
        </w:tc>
        <w:tc>
          <w:tcPr>
            <w:tcW w:w="1364" w:type="dxa"/>
            <w:vAlign w:val="top"/>
          </w:tcPr>
          <w:p w14:paraId="727751C2">
            <w:pPr>
              <w:jc w:val="left"/>
            </w:pPr>
          </w:p>
        </w:tc>
        <w:tc>
          <w:tcPr>
            <w:tcW w:w="1079" w:type="dxa"/>
            <w:vAlign w:val="top"/>
          </w:tcPr>
          <w:p w14:paraId="0B182630">
            <w:pPr>
              <w:jc w:val="left"/>
            </w:pPr>
            <w:r>
              <w:rPr>
                <w:rFonts w:ascii="仿宋_GB2312" w:hAnsi="仿宋"/>
                <w:sz w:val="24"/>
              </w:rPr>
              <w:t>3.1</w:t>
            </w:r>
          </w:p>
        </w:tc>
      </w:tr>
      <w:tr w14:paraId="771D4FE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D1DC313">
            <w:pPr>
              <w:jc w:val="left"/>
            </w:pPr>
            <w:r>
              <w:rPr>
                <w:rFonts w:ascii="仿宋_GB2312" w:hAnsi="仿宋"/>
                <w:sz w:val="24"/>
              </w:rPr>
              <w:t>邵武市</w:t>
            </w:r>
          </w:p>
        </w:tc>
        <w:tc>
          <w:tcPr>
            <w:tcW w:w="1187" w:type="dxa"/>
            <w:vAlign w:val="top"/>
          </w:tcPr>
          <w:p w14:paraId="77FDB771">
            <w:pPr>
              <w:jc w:val="left"/>
            </w:pPr>
            <w:r>
              <w:rPr>
                <w:rFonts w:ascii="仿宋_GB2312" w:hAnsi="仿宋"/>
                <w:sz w:val="24"/>
              </w:rPr>
              <w:t>0.2</w:t>
            </w:r>
          </w:p>
        </w:tc>
        <w:tc>
          <w:tcPr>
            <w:tcW w:w="1200" w:type="dxa"/>
            <w:vAlign w:val="top"/>
          </w:tcPr>
          <w:p w14:paraId="4FF96DA1">
            <w:pPr>
              <w:jc w:val="left"/>
            </w:pPr>
            <w:r>
              <w:rPr>
                <w:rFonts w:ascii="仿宋_GB2312" w:hAnsi="仿宋"/>
                <w:sz w:val="24"/>
              </w:rPr>
              <w:t>0.1</w:t>
            </w:r>
          </w:p>
        </w:tc>
        <w:tc>
          <w:tcPr>
            <w:tcW w:w="1415" w:type="dxa"/>
            <w:vAlign w:val="top"/>
          </w:tcPr>
          <w:p w14:paraId="277F8F3A">
            <w:pPr>
              <w:jc w:val="left"/>
            </w:pPr>
            <w:r>
              <w:rPr>
                <w:rFonts w:ascii="仿宋_GB2312" w:hAnsi="仿宋"/>
                <w:sz w:val="24"/>
              </w:rPr>
              <w:t>0.8</w:t>
            </w:r>
          </w:p>
        </w:tc>
        <w:tc>
          <w:tcPr>
            <w:tcW w:w="1364" w:type="dxa"/>
            <w:vAlign w:val="top"/>
          </w:tcPr>
          <w:p w14:paraId="29B79D00">
            <w:pPr>
              <w:jc w:val="left"/>
            </w:pPr>
          </w:p>
        </w:tc>
        <w:tc>
          <w:tcPr>
            <w:tcW w:w="1079" w:type="dxa"/>
            <w:vAlign w:val="top"/>
          </w:tcPr>
          <w:p w14:paraId="3461473C">
            <w:pPr>
              <w:jc w:val="left"/>
            </w:pPr>
            <w:r>
              <w:rPr>
                <w:rFonts w:ascii="仿宋_GB2312" w:hAnsi="仿宋"/>
                <w:sz w:val="24"/>
              </w:rPr>
              <w:t>1.1</w:t>
            </w:r>
          </w:p>
        </w:tc>
      </w:tr>
      <w:tr w14:paraId="32C5705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0DF98BDE">
            <w:pPr>
              <w:jc w:val="left"/>
            </w:pPr>
            <w:r>
              <w:rPr>
                <w:rFonts w:ascii="仿宋_GB2312" w:hAnsi="仿宋"/>
                <w:sz w:val="24"/>
              </w:rPr>
              <w:t>武夷山市</w:t>
            </w:r>
          </w:p>
        </w:tc>
        <w:tc>
          <w:tcPr>
            <w:tcW w:w="1187" w:type="dxa"/>
            <w:vAlign w:val="top"/>
          </w:tcPr>
          <w:p w14:paraId="7C88A408">
            <w:pPr>
              <w:jc w:val="left"/>
            </w:pPr>
            <w:r>
              <w:rPr>
                <w:rFonts w:ascii="仿宋_GB2312" w:hAnsi="仿宋"/>
                <w:sz w:val="24"/>
              </w:rPr>
              <w:t>0.2</w:t>
            </w:r>
          </w:p>
        </w:tc>
        <w:tc>
          <w:tcPr>
            <w:tcW w:w="1200" w:type="dxa"/>
            <w:vAlign w:val="top"/>
          </w:tcPr>
          <w:p w14:paraId="45F66171">
            <w:pPr>
              <w:jc w:val="left"/>
            </w:pPr>
            <w:r>
              <w:rPr>
                <w:rFonts w:ascii="仿宋_GB2312" w:hAnsi="仿宋"/>
                <w:sz w:val="24"/>
              </w:rPr>
              <w:t>0.1</w:t>
            </w:r>
          </w:p>
        </w:tc>
        <w:tc>
          <w:tcPr>
            <w:tcW w:w="1415" w:type="dxa"/>
            <w:vAlign w:val="top"/>
          </w:tcPr>
          <w:p w14:paraId="719CFE8D">
            <w:pPr>
              <w:jc w:val="left"/>
            </w:pPr>
            <w:r>
              <w:rPr>
                <w:rFonts w:ascii="仿宋_GB2312" w:hAnsi="仿宋"/>
                <w:sz w:val="24"/>
              </w:rPr>
              <w:t>0.5</w:t>
            </w:r>
          </w:p>
        </w:tc>
        <w:tc>
          <w:tcPr>
            <w:tcW w:w="1364" w:type="dxa"/>
            <w:vAlign w:val="top"/>
          </w:tcPr>
          <w:p w14:paraId="7917F017">
            <w:pPr>
              <w:jc w:val="left"/>
            </w:pPr>
          </w:p>
        </w:tc>
        <w:tc>
          <w:tcPr>
            <w:tcW w:w="1079" w:type="dxa"/>
            <w:vAlign w:val="top"/>
          </w:tcPr>
          <w:p w14:paraId="31D65BB6">
            <w:pPr>
              <w:jc w:val="left"/>
            </w:pPr>
            <w:r>
              <w:rPr>
                <w:rFonts w:ascii="仿宋_GB2312" w:hAnsi="仿宋"/>
                <w:sz w:val="24"/>
              </w:rPr>
              <w:t>0.8</w:t>
            </w:r>
          </w:p>
        </w:tc>
      </w:tr>
      <w:tr w14:paraId="0667583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1E1A0774">
            <w:pPr>
              <w:jc w:val="left"/>
            </w:pPr>
            <w:r>
              <w:rPr>
                <w:rFonts w:ascii="仿宋_GB2312" w:hAnsi="仿宋"/>
                <w:sz w:val="24"/>
              </w:rPr>
              <w:t>建瓯市</w:t>
            </w:r>
          </w:p>
        </w:tc>
        <w:tc>
          <w:tcPr>
            <w:tcW w:w="1187" w:type="dxa"/>
            <w:vAlign w:val="top"/>
          </w:tcPr>
          <w:p w14:paraId="41445492">
            <w:pPr>
              <w:jc w:val="left"/>
            </w:pPr>
            <w:r>
              <w:rPr>
                <w:rFonts w:ascii="仿宋_GB2312" w:hAnsi="仿宋"/>
                <w:sz w:val="24"/>
              </w:rPr>
              <w:t>0.8</w:t>
            </w:r>
          </w:p>
        </w:tc>
        <w:tc>
          <w:tcPr>
            <w:tcW w:w="1200" w:type="dxa"/>
            <w:vAlign w:val="top"/>
          </w:tcPr>
          <w:p w14:paraId="61FD5CD4">
            <w:pPr>
              <w:jc w:val="left"/>
            </w:pPr>
            <w:r>
              <w:rPr>
                <w:rFonts w:ascii="仿宋_GB2312" w:hAnsi="仿宋"/>
                <w:sz w:val="24"/>
              </w:rPr>
              <w:t>0.3</w:t>
            </w:r>
          </w:p>
        </w:tc>
        <w:tc>
          <w:tcPr>
            <w:tcW w:w="1415" w:type="dxa"/>
            <w:vAlign w:val="top"/>
          </w:tcPr>
          <w:p w14:paraId="449DE86B">
            <w:pPr>
              <w:jc w:val="left"/>
            </w:pPr>
            <w:r>
              <w:rPr>
                <w:rFonts w:ascii="仿宋_GB2312" w:hAnsi="仿宋"/>
                <w:sz w:val="24"/>
              </w:rPr>
              <w:t>2.0</w:t>
            </w:r>
          </w:p>
        </w:tc>
        <w:tc>
          <w:tcPr>
            <w:tcW w:w="1364" w:type="dxa"/>
            <w:vAlign w:val="top"/>
          </w:tcPr>
          <w:p w14:paraId="5414E2A1">
            <w:pPr>
              <w:jc w:val="left"/>
            </w:pPr>
          </w:p>
        </w:tc>
        <w:tc>
          <w:tcPr>
            <w:tcW w:w="1079" w:type="dxa"/>
            <w:vAlign w:val="top"/>
          </w:tcPr>
          <w:p w14:paraId="7056E72F">
            <w:pPr>
              <w:jc w:val="left"/>
            </w:pPr>
            <w:r>
              <w:rPr>
                <w:rFonts w:ascii="仿宋_GB2312" w:hAnsi="仿宋"/>
                <w:sz w:val="24"/>
              </w:rPr>
              <w:t>3.1</w:t>
            </w:r>
          </w:p>
        </w:tc>
      </w:tr>
      <w:tr w14:paraId="4EE3F2A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6A0745E6">
            <w:pPr>
              <w:jc w:val="left"/>
            </w:pPr>
            <w:r>
              <w:rPr>
                <w:rFonts w:ascii="仿宋_GB2312" w:hAnsi="仿宋"/>
                <w:sz w:val="24"/>
              </w:rPr>
              <w:t>建阳市</w:t>
            </w:r>
          </w:p>
        </w:tc>
        <w:tc>
          <w:tcPr>
            <w:tcW w:w="1187" w:type="dxa"/>
            <w:vAlign w:val="top"/>
          </w:tcPr>
          <w:p w14:paraId="784F34E1">
            <w:pPr>
              <w:jc w:val="left"/>
            </w:pPr>
            <w:r>
              <w:rPr>
                <w:rFonts w:ascii="仿宋_GB2312" w:hAnsi="仿宋"/>
                <w:sz w:val="24"/>
              </w:rPr>
              <w:t>0.3</w:t>
            </w:r>
          </w:p>
        </w:tc>
        <w:tc>
          <w:tcPr>
            <w:tcW w:w="1200" w:type="dxa"/>
            <w:vAlign w:val="top"/>
          </w:tcPr>
          <w:p w14:paraId="5C9C741F">
            <w:pPr>
              <w:jc w:val="left"/>
            </w:pPr>
            <w:r>
              <w:rPr>
                <w:rFonts w:ascii="仿宋_GB2312" w:hAnsi="仿宋"/>
                <w:sz w:val="24"/>
              </w:rPr>
              <w:t>0.1</w:t>
            </w:r>
          </w:p>
        </w:tc>
        <w:tc>
          <w:tcPr>
            <w:tcW w:w="1415" w:type="dxa"/>
            <w:vAlign w:val="top"/>
          </w:tcPr>
          <w:p w14:paraId="3201D96E">
            <w:pPr>
              <w:jc w:val="left"/>
            </w:pPr>
            <w:r>
              <w:rPr>
                <w:rFonts w:ascii="仿宋_GB2312" w:hAnsi="仿宋"/>
                <w:sz w:val="24"/>
              </w:rPr>
              <w:t>0.2</w:t>
            </w:r>
          </w:p>
        </w:tc>
        <w:tc>
          <w:tcPr>
            <w:tcW w:w="1364" w:type="dxa"/>
            <w:vAlign w:val="top"/>
          </w:tcPr>
          <w:p w14:paraId="54058C49">
            <w:pPr>
              <w:jc w:val="left"/>
            </w:pPr>
          </w:p>
        </w:tc>
        <w:tc>
          <w:tcPr>
            <w:tcW w:w="1079" w:type="dxa"/>
            <w:vAlign w:val="top"/>
          </w:tcPr>
          <w:p w14:paraId="5748B96F">
            <w:pPr>
              <w:jc w:val="left"/>
            </w:pPr>
            <w:r>
              <w:rPr>
                <w:rFonts w:ascii="仿宋_GB2312" w:hAnsi="仿宋"/>
                <w:sz w:val="24"/>
              </w:rPr>
              <w:t>0.6</w:t>
            </w:r>
          </w:p>
        </w:tc>
      </w:tr>
      <w:tr w14:paraId="23C3DB8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02BF89F4">
            <w:pPr>
              <w:jc w:val="left"/>
            </w:pPr>
            <w:r>
              <w:rPr>
                <w:rFonts w:ascii="仿宋_GB2312" w:hAnsi="仿宋"/>
                <w:sz w:val="24"/>
              </w:rPr>
              <w:t>顺昌县</w:t>
            </w:r>
          </w:p>
        </w:tc>
        <w:tc>
          <w:tcPr>
            <w:tcW w:w="1187" w:type="dxa"/>
            <w:vAlign w:val="top"/>
          </w:tcPr>
          <w:p w14:paraId="2D27F2ED">
            <w:pPr>
              <w:jc w:val="left"/>
            </w:pPr>
            <w:r>
              <w:rPr>
                <w:rFonts w:ascii="仿宋_GB2312" w:hAnsi="仿宋"/>
                <w:sz w:val="24"/>
              </w:rPr>
              <w:t>×</w:t>
            </w:r>
          </w:p>
        </w:tc>
        <w:tc>
          <w:tcPr>
            <w:tcW w:w="1200" w:type="dxa"/>
            <w:vAlign w:val="top"/>
          </w:tcPr>
          <w:p w14:paraId="12C1D4E7">
            <w:pPr>
              <w:jc w:val="left"/>
            </w:pPr>
            <w:r>
              <w:rPr>
                <w:rFonts w:ascii="仿宋_GB2312" w:hAnsi="仿宋"/>
                <w:sz w:val="24"/>
              </w:rPr>
              <w:t>×</w:t>
            </w:r>
          </w:p>
        </w:tc>
        <w:tc>
          <w:tcPr>
            <w:tcW w:w="1415" w:type="dxa"/>
            <w:vAlign w:val="top"/>
          </w:tcPr>
          <w:p w14:paraId="2AA80992">
            <w:pPr>
              <w:jc w:val="left"/>
            </w:pPr>
            <w:r>
              <w:rPr>
                <w:rFonts w:ascii="仿宋_GB2312" w:hAnsi="仿宋"/>
                <w:sz w:val="24"/>
              </w:rPr>
              <w:t>×</w:t>
            </w:r>
          </w:p>
        </w:tc>
        <w:tc>
          <w:tcPr>
            <w:tcW w:w="1364" w:type="dxa"/>
            <w:vAlign w:val="top"/>
          </w:tcPr>
          <w:p w14:paraId="4781C944">
            <w:pPr>
              <w:jc w:val="left"/>
            </w:pPr>
          </w:p>
        </w:tc>
        <w:tc>
          <w:tcPr>
            <w:tcW w:w="1079" w:type="dxa"/>
            <w:vAlign w:val="top"/>
          </w:tcPr>
          <w:p w14:paraId="2A670898">
            <w:pPr>
              <w:jc w:val="left"/>
            </w:pPr>
            <w:r>
              <w:rPr>
                <w:rFonts w:ascii="仿宋_GB2312" w:hAnsi="仿宋"/>
                <w:sz w:val="24"/>
              </w:rPr>
              <w:t>×</w:t>
            </w:r>
          </w:p>
        </w:tc>
      </w:tr>
      <w:tr w14:paraId="650E90F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4B28E1F5">
            <w:pPr>
              <w:jc w:val="left"/>
            </w:pPr>
            <w:r>
              <w:rPr>
                <w:rFonts w:ascii="仿宋_GB2312" w:hAnsi="仿宋"/>
                <w:sz w:val="24"/>
              </w:rPr>
              <w:t>浦城县</w:t>
            </w:r>
          </w:p>
        </w:tc>
        <w:tc>
          <w:tcPr>
            <w:tcW w:w="1187" w:type="dxa"/>
            <w:vAlign w:val="top"/>
          </w:tcPr>
          <w:p w14:paraId="417B6955">
            <w:pPr>
              <w:jc w:val="left"/>
            </w:pPr>
            <w:r>
              <w:rPr>
                <w:rFonts w:ascii="仿宋_GB2312" w:hAnsi="仿宋"/>
                <w:sz w:val="24"/>
              </w:rPr>
              <w:t>0.2</w:t>
            </w:r>
          </w:p>
        </w:tc>
        <w:tc>
          <w:tcPr>
            <w:tcW w:w="1200" w:type="dxa"/>
            <w:vAlign w:val="top"/>
          </w:tcPr>
          <w:p w14:paraId="3E1EBED6">
            <w:pPr>
              <w:jc w:val="left"/>
            </w:pPr>
            <w:r>
              <w:rPr>
                <w:rFonts w:ascii="仿宋_GB2312" w:hAnsi="仿宋"/>
                <w:sz w:val="24"/>
              </w:rPr>
              <w:t>0.1</w:t>
            </w:r>
          </w:p>
        </w:tc>
        <w:tc>
          <w:tcPr>
            <w:tcW w:w="1415" w:type="dxa"/>
            <w:vAlign w:val="top"/>
          </w:tcPr>
          <w:p w14:paraId="5CEE42B1">
            <w:pPr>
              <w:jc w:val="left"/>
            </w:pPr>
            <w:r>
              <w:rPr>
                <w:rFonts w:ascii="仿宋_GB2312" w:hAnsi="仿宋"/>
                <w:sz w:val="24"/>
              </w:rPr>
              <w:t>0.1</w:t>
            </w:r>
          </w:p>
        </w:tc>
        <w:tc>
          <w:tcPr>
            <w:tcW w:w="1364" w:type="dxa"/>
            <w:vAlign w:val="top"/>
          </w:tcPr>
          <w:p w14:paraId="1AE29AEB">
            <w:pPr>
              <w:jc w:val="left"/>
            </w:pPr>
          </w:p>
        </w:tc>
        <w:tc>
          <w:tcPr>
            <w:tcW w:w="1079" w:type="dxa"/>
            <w:vAlign w:val="top"/>
          </w:tcPr>
          <w:p w14:paraId="5D7473B6">
            <w:pPr>
              <w:jc w:val="left"/>
            </w:pPr>
            <w:r>
              <w:rPr>
                <w:rFonts w:ascii="仿宋_GB2312" w:hAnsi="仿宋"/>
                <w:sz w:val="24"/>
              </w:rPr>
              <w:t>0.4</w:t>
            </w:r>
          </w:p>
        </w:tc>
      </w:tr>
      <w:tr w14:paraId="3217E6E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415319CA">
            <w:pPr>
              <w:jc w:val="left"/>
            </w:pPr>
            <w:r>
              <w:rPr>
                <w:rFonts w:ascii="仿宋_GB2312" w:hAnsi="仿宋"/>
                <w:sz w:val="24"/>
              </w:rPr>
              <w:t>光泽县</w:t>
            </w:r>
          </w:p>
        </w:tc>
        <w:tc>
          <w:tcPr>
            <w:tcW w:w="1187" w:type="dxa"/>
            <w:vAlign w:val="top"/>
          </w:tcPr>
          <w:p w14:paraId="72E2591A">
            <w:pPr>
              <w:jc w:val="left"/>
            </w:pPr>
            <w:r>
              <w:rPr>
                <w:rFonts w:ascii="仿宋_GB2312" w:hAnsi="仿宋"/>
                <w:sz w:val="24"/>
              </w:rPr>
              <w:t>×</w:t>
            </w:r>
          </w:p>
        </w:tc>
        <w:tc>
          <w:tcPr>
            <w:tcW w:w="1200" w:type="dxa"/>
            <w:vAlign w:val="top"/>
          </w:tcPr>
          <w:p w14:paraId="34535656">
            <w:pPr>
              <w:jc w:val="left"/>
            </w:pPr>
            <w:r>
              <w:rPr>
                <w:rFonts w:ascii="仿宋_GB2312" w:hAnsi="仿宋"/>
                <w:sz w:val="24"/>
              </w:rPr>
              <w:t>×</w:t>
            </w:r>
          </w:p>
        </w:tc>
        <w:tc>
          <w:tcPr>
            <w:tcW w:w="1415" w:type="dxa"/>
            <w:vAlign w:val="top"/>
          </w:tcPr>
          <w:p w14:paraId="74BC5940">
            <w:pPr>
              <w:jc w:val="left"/>
            </w:pPr>
            <w:r>
              <w:rPr>
                <w:rFonts w:ascii="仿宋_GB2312" w:hAnsi="仿宋"/>
                <w:sz w:val="24"/>
              </w:rPr>
              <w:t>×</w:t>
            </w:r>
          </w:p>
        </w:tc>
        <w:tc>
          <w:tcPr>
            <w:tcW w:w="1364" w:type="dxa"/>
            <w:vAlign w:val="top"/>
          </w:tcPr>
          <w:p w14:paraId="09B74EED">
            <w:pPr>
              <w:jc w:val="left"/>
            </w:pPr>
          </w:p>
        </w:tc>
        <w:tc>
          <w:tcPr>
            <w:tcW w:w="1079" w:type="dxa"/>
            <w:vAlign w:val="top"/>
          </w:tcPr>
          <w:p w14:paraId="0BDB8767">
            <w:pPr>
              <w:jc w:val="left"/>
            </w:pPr>
            <w:r>
              <w:rPr>
                <w:rFonts w:ascii="仿宋_GB2312" w:hAnsi="仿宋"/>
                <w:sz w:val="24"/>
              </w:rPr>
              <w:t>×</w:t>
            </w:r>
          </w:p>
        </w:tc>
      </w:tr>
      <w:tr w14:paraId="4E5D671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0FF82A95">
            <w:pPr>
              <w:jc w:val="left"/>
            </w:pPr>
            <w:r>
              <w:rPr>
                <w:rFonts w:ascii="仿宋_GB2312" w:hAnsi="仿宋"/>
                <w:sz w:val="24"/>
              </w:rPr>
              <w:t>松溪县</w:t>
            </w:r>
          </w:p>
        </w:tc>
        <w:tc>
          <w:tcPr>
            <w:tcW w:w="1187" w:type="dxa"/>
            <w:vAlign w:val="top"/>
          </w:tcPr>
          <w:p w14:paraId="2F9E983C">
            <w:pPr>
              <w:jc w:val="left"/>
            </w:pPr>
            <w:r>
              <w:rPr>
                <w:rFonts w:ascii="仿宋_GB2312" w:hAnsi="仿宋"/>
                <w:sz w:val="24"/>
              </w:rPr>
              <w:t>×</w:t>
            </w:r>
          </w:p>
        </w:tc>
        <w:tc>
          <w:tcPr>
            <w:tcW w:w="1200" w:type="dxa"/>
            <w:vAlign w:val="top"/>
          </w:tcPr>
          <w:p w14:paraId="053CE538">
            <w:pPr>
              <w:jc w:val="left"/>
            </w:pPr>
            <w:r>
              <w:rPr>
                <w:rFonts w:ascii="仿宋_GB2312" w:hAnsi="仿宋"/>
                <w:sz w:val="24"/>
              </w:rPr>
              <w:t>×</w:t>
            </w:r>
          </w:p>
        </w:tc>
        <w:tc>
          <w:tcPr>
            <w:tcW w:w="1415" w:type="dxa"/>
            <w:vAlign w:val="top"/>
          </w:tcPr>
          <w:p w14:paraId="08CDE141">
            <w:pPr>
              <w:jc w:val="left"/>
            </w:pPr>
            <w:r>
              <w:rPr>
                <w:rFonts w:ascii="仿宋_GB2312" w:hAnsi="仿宋"/>
                <w:sz w:val="24"/>
              </w:rPr>
              <w:t>×</w:t>
            </w:r>
          </w:p>
        </w:tc>
        <w:tc>
          <w:tcPr>
            <w:tcW w:w="1364" w:type="dxa"/>
            <w:vAlign w:val="top"/>
          </w:tcPr>
          <w:p w14:paraId="42CCB529">
            <w:pPr>
              <w:jc w:val="left"/>
            </w:pPr>
          </w:p>
        </w:tc>
        <w:tc>
          <w:tcPr>
            <w:tcW w:w="1079" w:type="dxa"/>
            <w:vAlign w:val="top"/>
          </w:tcPr>
          <w:p w14:paraId="39B3086A">
            <w:pPr>
              <w:jc w:val="left"/>
            </w:pPr>
            <w:r>
              <w:rPr>
                <w:rFonts w:ascii="仿宋_GB2312" w:hAnsi="仿宋"/>
                <w:sz w:val="24"/>
              </w:rPr>
              <w:t>×</w:t>
            </w:r>
          </w:p>
        </w:tc>
      </w:tr>
      <w:tr w14:paraId="3D62806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BDFC119">
            <w:pPr>
              <w:jc w:val="left"/>
            </w:pPr>
            <w:r>
              <w:rPr>
                <w:rFonts w:ascii="仿宋_GB2312" w:hAnsi="仿宋"/>
                <w:sz w:val="24"/>
              </w:rPr>
              <w:t>政和县</w:t>
            </w:r>
          </w:p>
        </w:tc>
        <w:tc>
          <w:tcPr>
            <w:tcW w:w="1187" w:type="dxa"/>
            <w:vAlign w:val="top"/>
          </w:tcPr>
          <w:p w14:paraId="392E02F2">
            <w:pPr>
              <w:jc w:val="left"/>
            </w:pPr>
            <w:r>
              <w:rPr>
                <w:rFonts w:ascii="仿宋_GB2312" w:hAnsi="仿宋"/>
                <w:sz w:val="24"/>
              </w:rPr>
              <w:t>×</w:t>
            </w:r>
          </w:p>
        </w:tc>
        <w:tc>
          <w:tcPr>
            <w:tcW w:w="1200" w:type="dxa"/>
            <w:vAlign w:val="top"/>
          </w:tcPr>
          <w:p w14:paraId="0B182F3C">
            <w:pPr>
              <w:jc w:val="left"/>
            </w:pPr>
            <w:r>
              <w:rPr>
                <w:rFonts w:ascii="仿宋_GB2312" w:hAnsi="仿宋"/>
                <w:sz w:val="24"/>
              </w:rPr>
              <w:t>×</w:t>
            </w:r>
          </w:p>
        </w:tc>
        <w:tc>
          <w:tcPr>
            <w:tcW w:w="1415" w:type="dxa"/>
            <w:vAlign w:val="top"/>
          </w:tcPr>
          <w:p w14:paraId="5C6625A9">
            <w:pPr>
              <w:jc w:val="left"/>
            </w:pPr>
            <w:r>
              <w:rPr>
                <w:rFonts w:ascii="仿宋_GB2312" w:hAnsi="仿宋"/>
                <w:sz w:val="24"/>
              </w:rPr>
              <w:t>×</w:t>
            </w:r>
          </w:p>
        </w:tc>
        <w:tc>
          <w:tcPr>
            <w:tcW w:w="1364" w:type="dxa"/>
            <w:vAlign w:val="top"/>
          </w:tcPr>
          <w:p w14:paraId="5B55E08A">
            <w:pPr>
              <w:jc w:val="left"/>
            </w:pPr>
          </w:p>
        </w:tc>
        <w:tc>
          <w:tcPr>
            <w:tcW w:w="1079" w:type="dxa"/>
            <w:vAlign w:val="top"/>
          </w:tcPr>
          <w:p w14:paraId="1092E216">
            <w:pPr>
              <w:jc w:val="left"/>
            </w:pPr>
            <w:r>
              <w:rPr>
                <w:rFonts w:ascii="仿宋_GB2312" w:hAnsi="仿宋"/>
                <w:sz w:val="24"/>
              </w:rPr>
              <w:t>×</w:t>
            </w:r>
          </w:p>
        </w:tc>
      </w:tr>
      <w:tr w14:paraId="483E92D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5BB577D6">
            <w:pPr>
              <w:jc w:val="left"/>
            </w:pPr>
            <w:r>
              <w:rPr>
                <w:rFonts w:ascii="仿宋_GB2312" w:hAnsi="仿宋"/>
                <w:b/>
                <w:sz w:val="24"/>
              </w:rPr>
              <w:t>龙岩市</w:t>
            </w:r>
          </w:p>
        </w:tc>
        <w:tc>
          <w:tcPr>
            <w:tcW w:w="1187" w:type="dxa"/>
            <w:vAlign w:val="top"/>
          </w:tcPr>
          <w:p w14:paraId="2305B9A0">
            <w:pPr>
              <w:jc w:val="left"/>
            </w:pPr>
            <w:r>
              <w:rPr>
                <w:rFonts w:ascii="仿宋_GB2312" w:hAnsi="仿宋"/>
                <w:sz w:val="24"/>
              </w:rPr>
              <w:t>2.3</w:t>
            </w:r>
          </w:p>
        </w:tc>
        <w:tc>
          <w:tcPr>
            <w:tcW w:w="1200" w:type="dxa"/>
            <w:vAlign w:val="top"/>
          </w:tcPr>
          <w:p w14:paraId="0476F490">
            <w:pPr>
              <w:jc w:val="left"/>
            </w:pPr>
            <w:r>
              <w:rPr>
                <w:rFonts w:ascii="仿宋_GB2312" w:hAnsi="仿宋"/>
                <w:sz w:val="24"/>
              </w:rPr>
              <w:t>4.5</w:t>
            </w:r>
          </w:p>
        </w:tc>
        <w:tc>
          <w:tcPr>
            <w:tcW w:w="1415" w:type="dxa"/>
            <w:vAlign w:val="top"/>
          </w:tcPr>
          <w:p w14:paraId="7DC76BBC">
            <w:pPr>
              <w:jc w:val="left"/>
            </w:pPr>
            <w:r>
              <w:rPr>
                <w:rFonts w:ascii="仿宋_GB2312" w:hAnsi="仿宋"/>
                <w:sz w:val="24"/>
              </w:rPr>
              <w:t>17.5</w:t>
            </w:r>
          </w:p>
        </w:tc>
        <w:tc>
          <w:tcPr>
            <w:tcW w:w="1364" w:type="dxa"/>
            <w:vAlign w:val="top"/>
          </w:tcPr>
          <w:p w14:paraId="041D835E">
            <w:pPr>
              <w:jc w:val="left"/>
            </w:pPr>
            <w:r>
              <w:rPr>
                <w:rFonts w:ascii="仿宋_GB2312" w:hAnsi="仿宋"/>
                <w:sz w:val="24"/>
              </w:rPr>
              <w:t>0.7</w:t>
            </w:r>
          </w:p>
        </w:tc>
        <w:tc>
          <w:tcPr>
            <w:tcW w:w="1079" w:type="dxa"/>
            <w:vAlign w:val="top"/>
          </w:tcPr>
          <w:p w14:paraId="72D36566">
            <w:pPr>
              <w:jc w:val="left"/>
            </w:pPr>
            <w:r>
              <w:rPr>
                <w:rFonts w:ascii="仿宋_GB2312" w:hAnsi="仿宋"/>
                <w:sz w:val="24"/>
              </w:rPr>
              <w:t>25</w:t>
            </w:r>
          </w:p>
        </w:tc>
      </w:tr>
      <w:tr w14:paraId="2225769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1CC48AA7">
            <w:pPr>
              <w:jc w:val="left"/>
            </w:pPr>
            <w:r>
              <w:rPr>
                <w:rFonts w:ascii="仿宋_GB2312" w:hAnsi="仿宋"/>
                <w:sz w:val="24"/>
              </w:rPr>
              <w:t>市区</w:t>
            </w:r>
          </w:p>
        </w:tc>
        <w:tc>
          <w:tcPr>
            <w:tcW w:w="1187" w:type="dxa"/>
            <w:vAlign w:val="top"/>
          </w:tcPr>
          <w:p w14:paraId="3D2CD642">
            <w:pPr>
              <w:jc w:val="left"/>
            </w:pPr>
            <w:r>
              <w:rPr>
                <w:rFonts w:ascii="仿宋_GB2312" w:hAnsi="仿宋"/>
                <w:sz w:val="24"/>
              </w:rPr>
              <w:t>0.9</w:t>
            </w:r>
          </w:p>
        </w:tc>
        <w:tc>
          <w:tcPr>
            <w:tcW w:w="1200" w:type="dxa"/>
            <w:vAlign w:val="top"/>
          </w:tcPr>
          <w:p w14:paraId="5A8D7025">
            <w:pPr>
              <w:jc w:val="left"/>
            </w:pPr>
            <w:r>
              <w:rPr>
                <w:rFonts w:ascii="仿宋_GB2312" w:hAnsi="仿宋"/>
                <w:sz w:val="24"/>
              </w:rPr>
              <w:t>0.7</w:t>
            </w:r>
          </w:p>
        </w:tc>
        <w:tc>
          <w:tcPr>
            <w:tcW w:w="1415" w:type="dxa"/>
            <w:vAlign w:val="top"/>
          </w:tcPr>
          <w:p w14:paraId="026384B2">
            <w:pPr>
              <w:jc w:val="left"/>
            </w:pPr>
            <w:r>
              <w:rPr>
                <w:rFonts w:ascii="仿宋_GB2312" w:hAnsi="仿宋"/>
                <w:sz w:val="24"/>
              </w:rPr>
              <w:t>2.3</w:t>
            </w:r>
          </w:p>
        </w:tc>
        <w:tc>
          <w:tcPr>
            <w:tcW w:w="1364" w:type="dxa"/>
            <w:vAlign w:val="top"/>
          </w:tcPr>
          <w:p w14:paraId="0DD53B1E">
            <w:pPr>
              <w:jc w:val="left"/>
            </w:pPr>
          </w:p>
        </w:tc>
        <w:tc>
          <w:tcPr>
            <w:tcW w:w="1079" w:type="dxa"/>
            <w:vAlign w:val="top"/>
          </w:tcPr>
          <w:p w14:paraId="7A0C6C25">
            <w:pPr>
              <w:jc w:val="left"/>
            </w:pPr>
            <w:r>
              <w:rPr>
                <w:rFonts w:ascii="仿宋_GB2312" w:hAnsi="仿宋"/>
                <w:sz w:val="24"/>
              </w:rPr>
              <w:t>3.9</w:t>
            </w:r>
          </w:p>
        </w:tc>
      </w:tr>
      <w:tr w14:paraId="569EEFD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347458C">
            <w:pPr>
              <w:jc w:val="left"/>
            </w:pPr>
            <w:r>
              <w:rPr>
                <w:rFonts w:ascii="仿宋_GB2312" w:hAnsi="仿宋"/>
                <w:sz w:val="24"/>
              </w:rPr>
              <w:t>漳平市</w:t>
            </w:r>
          </w:p>
        </w:tc>
        <w:tc>
          <w:tcPr>
            <w:tcW w:w="1187" w:type="dxa"/>
            <w:vAlign w:val="top"/>
          </w:tcPr>
          <w:p w14:paraId="36ED2E7D">
            <w:pPr>
              <w:jc w:val="left"/>
            </w:pPr>
            <w:r>
              <w:rPr>
                <w:rFonts w:ascii="仿宋_GB2312" w:hAnsi="仿宋"/>
                <w:sz w:val="24"/>
              </w:rPr>
              <w:t>0.2</w:t>
            </w:r>
          </w:p>
        </w:tc>
        <w:tc>
          <w:tcPr>
            <w:tcW w:w="1200" w:type="dxa"/>
            <w:vAlign w:val="top"/>
          </w:tcPr>
          <w:p w14:paraId="007AFA5F">
            <w:pPr>
              <w:jc w:val="left"/>
            </w:pPr>
            <w:r>
              <w:rPr>
                <w:rFonts w:ascii="仿宋_GB2312" w:hAnsi="仿宋"/>
                <w:sz w:val="24"/>
              </w:rPr>
              <w:t>0.1</w:t>
            </w:r>
          </w:p>
        </w:tc>
        <w:tc>
          <w:tcPr>
            <w:tcW w:w="1415" w:type="dxa"/>
            <w:vAlign w:val="top"/>
          </w:tcPr>
          <w:p w14:paraId="78FCD867">
            <w:pPr>
              <w:jc w:val="left"/>
            </w:pPr>
            <w:r>
              <w:rPr>
                <w:rFonts w:ascii="仿宋_GB2312" w:hAnsi="仿宋"/>
                <w:sz w:val="24"/>
              </w:rPr>
              <w:t>0.2</w:t>
            </w:r>
          </w:p>
        </w:tc>
        <w:tc>
          <w:tcPr>
            <w:tcW w:w="1364" w:type="dxa"/>
            <w:vAlign w:val="top"/>
          </w:tcPr>
          <w:p w14:paraId="4DCF7B59">
            <w:pPr>
              <w:jc w:val="left"/>
            </w:pPr>
          </w:p>
        </w:tc>
        <w:tc>
          <w:tcPr>
            <w:tcW w:w="1079" w:type="dxa"/>
            <w:vAlign w:val="top"/>
          </w:tcPr>
          <w:p w14:paraId="052B1CCA">
            <w:pPr>
              <w:jc w:val="left"/>
            </w:pPr>
            <w:r>
              <w:rPr>
                <w:rFonts w:ascii="仿宋_GB2312" w:hAnsi="仿宋"/>
                <w:sz w:val="24"/>
              </w:rPr>
              <w:t>0.5</w:t>
            </w:r>
          </w:p>
        </w:tc>
      </w:tr>
      <w:tr w14:paraId="6FD6656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032F9B85">
            <w:pPr>
              <w:jc w:val="left"/>
            </w:pPr>
            <w:r>
              <w:rPr>
                <w:rFonts w:ascii="仿宋_GB2312" w:hAnsi="仿宋"/>
                <w:sz w:val="24"/>
              </w:rPr>
              <w:t>长汀县</w:t>
            </w:r>
          </w:p>
        </w:tc>
        <w:tc>
          <w:tcPr>
            <w:tcW w:w="1187" w:type="dxa"/>
            <w:vAlign w:val="top"/>
          </w:tcPr>
          <w:p w14:paraId="60D35F9B">
            <w:pPr>
              <w:jc w:val="left"/>
            </w:pPr>
            <w:r>
              <w:rPr>
                <w:rFonts w:ascii="仿宋_GB2312" w:hAnsi="仿宋"/>
                <w:sz w:val="24"/>
              </w:rPr>
              <w:t>0.2</w:t>
            </w:r>
          </w:p>
        </w:tc>
        <w:tc>
          <w:tcPr>
            <w:tcW w:w="1200" w:type="dxa"/>
            <w:vAlign w:val="top"/>
          </w:tcPr>
          <w:p w14:paraId="547337AB">
            <w:pPr>
              <w:jc w:val="left"/>
            </w:pPr>
            <w:r>
              <w:rPr>
                <w:rFonts w:ascii="仿宋_GB2312" w:hAnsi="仿宋"/>
                <w:sz w:val="24"/>
              </w:rPr>
              <w:t>0.1</w:t>
            </w:r>
          </w:p>
        </w:tc>
        <w:tc>
          <w:tcPr>
            <w:tcW w:w="1415" w:type="dxa"/>
            <w:vAlign w:val="top"/>
          </w:tcPr>
          <w:p w14:paraId="4CBED773">
            <w:pPr>
              <w:jc w:val="left"/>
            </w:pPr>
            <w:r>
              <w:rPr>
                <w:rFonts w:ascii="仿宋_GB2312" w:hAnsi="仿宋"/>
                <w:sz w:val="24"/>
              </w:rPr>
              <w:t>0.2</w:t>
            </w:r>
          </w:p>
        </w:tc>
        <w:tc>
          <w:tcPr>
            <w:tcW w:w="1364" w:type="dxa"/>
            <w:vAlign w:val="top"/>
          </w:tcPr>
          <w:p w14:paraId="11E33E0E">
            <w:pPr>
              <w:jc w:val="left"/>
            </w:pPr>
          </w:p>
        </w:tc>
        <w:tc>
          <w:tcPr>
            <w:tcW w:w="1079" w:type="dxa"/>
            <w:vAlign w:val="top"/>
          </w:tcPr>
          <w:p w14:paraId="23144E39">
            <w:pPr>
              <w:jc w:val="left"/>
            </w:pPr>
            <w:r>
              <w:rPr>
                <w:rFonts w:ascii="仿宋_GB2312" w:hAnsi="仿宋"/>
                <w:sz w:val="24"/>
              </w:rPr>
              <w:t>0.5</w:t>
            </w:r>
          </w:p>
        </w:tc>
      </w:tr>
      <w:tr w14:paraId="3C6DD78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41E6057">
            <w:pPr>
              <w:jc w:val="left"/>
            </w:pPr>
            <w:r>
              <w:rPr>
                <w:rFonts w:ascii="仿宋_GB2312" w:hAnsi="仿宋"/>
                <w:sz w:val="24"/>
              </w:rPr>
              <w:t>永定县</w:t>
            </w:r>
          </w:p>
        </w:tc>
        <w:tc>
          <w:tcPr>
            <w:tcW w:w="1187" w:type="dxa"/>
            <w:vAlign w:val="top"/>
          </w:tcPr>
          <w:p w14:paraId="4D530A3C">
            <w:pPr>
              <w:jc w:val="left"/>
            </w:pPr>
            <w:r>
              <w:rPr>
                <w:rFonts w:ascii="仿宋_GB2312" w:hAnsi="仿宋"/>
                <w:sz w:val="24"/>
              </w:rPr>
              <w:t>0.2</w:t>
            </w:r>
          </w:p>
        </w:tc>
        <w:tc>
          <w:tcPr>
            <w:tcW w:w="1200" w:type="dxa"/>
            <w:vAlign w:val="top"/>
          </w:tcPr>
          <w:p w14:paraId="68490B81">
            <w:pPr>
              <w:jc w:val="left"/>
            </w:pPr>
            <w:r>
              <w:rPr>
                <w:rFonts w:ascii="仿宋_GB2312" w:hAnsi="仿宋"/>
                <w:sz w:val="24"/>
              </w:rPr>
              <w:t>0.1</w:t>
            </w:r>
          </w:p>
        </w:tc>
        <w:tc>
          <w:tcPr>
            <w:tcW w:w="1415" w:type="dxa"/>
            <w:vAlign w:val="top"/>
          </w:tcPr>
          <w:p w14:paraId="60666596">
            <w:pPr>
              <w:jc w:val="left"/>
            </w:pPr>
            <w:r>
              <w:rPr>
                <w:rFonts w:ascii="仿宋_GB2312" w:hAnsi="仿宋"/>
                <w:sz w:val="24"/>
              </w:rPr>
              <w:t>0.3</w:t>
            </w:r>
          </w:p>
        </w:tc>
        <w:tc>
          <w:tcPr>
            <w:tcW w:w="1364" w:type="dxa"/>
            <w:vAlign w:val="top"/>
          </w:tcPr>
          <w:p w14:paraId="170F8157">
            <w:pPr>
              <w:jc w:val="left"/>
            </w:pPr>
          </w:p>
        </w:tc>
        <w:tc>
          <w:tcPr>
            <w:tcW w:w="1079" w:type="dxa"/>
            <w:vAlign w:val="top"/>
          </w:tcPr>
          <w:p w14:paraId="6E307F34">
            <w:pPr>
              <w:jc w:val="left"/>
            </w:pPr>
            <w:r>
              <w:rPr>
                <w:rFonts w:ascii="仿宋_GB2312" w:hAnsi="仿宋"/>
                <w:sz w:val="24"/>
              </w:rPr>
              <w:t>0.6</w:t>
            </w:r>
          </w:p>
        </w:tc>
      </w:tr>
      <w:tr w14:paraId="6D7D56C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6F73CD3D">
            <w:pPr>
              <w:jc w:val="left"/>
            </w:pPr>
            <w:r>
              <w:rPr>
                <w:rFonts w:ascii="仿宋_GB2312" w:hAnsi="仿宋"/>
                <w:sz w:val="24"/>
              </w:rPr>
              <w:t>上杭县</w:t>
            </w:r>
          </w:p>
        </w:tc>
        <w:tc>
          <w:tcPr>
            <w:tcW w:w="1187" w:type="dxa"/>
            <w:vAlign w:val="top"/>
          </w:tcPr>
          <w:p w14:paraId="4EEE3755">
            <w:pPr>
              <w:jc w:val="left"/>
            </w:pPr>
            <w:r>
              <w:rPr>
                <w:rFonts w:ascii="仿宋_GB2312" w:hAnsi="仿宋"/>
                <w:sz w:val="24"/>
              </w:rPr>
              <w:t>0.4</w:t>
            </w:r>
          </w:p>
        </w:tc>
        <w:tc>
          <w:tcPr>
            <w:tcW w:w="1200" w:type="dxa"/>
            <w:vAlign w:val="top"/>
          </w:tcPr>
          <w:p w14:paraId="3C0AE2E6">
            <w:pPr>
              <w:jc w:val="left"/>
            </w:pPr>
            <w:r>
              <w:rPr>
                <w:rFonts w:ascii="仿宋_GB2312" w:hAnsi="仿宋"/>
                <w:sz w:val="24"/>
              </w:rPr>
              <w:t>0.2</w:t>
            </w:r>
          </w:p>
        </w:tc>
        <w:tc>
          <w:tcPr>
            <w:tcW w:w="1415" w:type="dxa"/>
            <w:vAlign w:val="top"/>
          </w:tcPr>
          <w:p w14:paraId="4F74D39E">
            <w:pPr>
              <w:jc w:val="left"/>
            </w:pPr>
            <w:r>
              <w:rPr>
                <w:rFonts w:ascii="仿宋_GB2312" w:hAnsi="仿宋"/>
                <w:sz w:val="24"/>
              </w:rPr>
              <w:t>0.3</w:t>
            </w:r>
          </w:p>
        </w:tc>
        <w:tc>
          <w:tcPr>
            <w:tcW w:w="1364" w:type="dxa"/>
            <w:vAlign w:val="top"/>
          </w:tcPr>
          <w:p w14:paraId="368C22B8">
            <w:pPr>
              <w:jc w:val="left"/>
            </w:pPr>
          </w:p>
        </w:tc>
        <w:tc>
          <w:tcPr>
            <w:tcW w:w="1079" w:type="dxa"/>
            <w:vAlign w:val="top"/>
          </w:tcPr>
          <w:p w14:paraId="0C3269CF">
            <w:pPr>
              <w:jc w:val="left"/>
            </w:pPr>
            <w:r>
              <w:rPr>
                <w:rFonts w:ascii="仿宋_GB2312" w:hAnsi="仿宋"/>
                <w:sz w:val="24"/>
              </w:rPr>
              <w:t>0.9</w:t>
            </w:r>
          </w:p>
        </w:tc>
      </w:tr>
      <w:tr w14:paraId="265C1D0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373349C">
            <w:pPr>
              <w:jc w:val="left"/>
            </w:pPr>
            <w:r>
              <w:rPr>
                <w:rFonts w:ascii="仿宋_GB2312" w:hAnsi="仿宋"/>
                <w:sz w:val="24"/>
              </w:rPr>
              <w:t>武平县</w:t>
            </w:r>
          </w:p>
        </w:tc>
        <w:tc>
          <w:tcPr>
            <w:tcW w:w="1187" w:type="dxa"/>
            <w:vAlign w:val="top"/>
          </w:tcPr>
          <w:p w14:paraId="64703EBA">
            <w:pPr>
              <w:jc w:val="left"/>
            </w:pPr>
            <w:r>
              <w:rPr>
                <w:rFonts w:ascii="仿宋_GB2312" w:hAnsi="仿宋"/>
                <w:sz w:val="24"/>
              </w:rPr>
              <w:t>0.2</w:t>
            </w:r>
          </w:p>
        </w:tc>
        <w:tc>
          <w:tcPr>
            <w:tcW w:w="1200" w:type="dxa"/>
            <w:vAlign w:val="top"/>
          </w:tcPr>
          <w:p w14:paraId="2A88CBAE">
            <w:pPr>
              <w:jc w:val="left"/>
            </w:pPr>
            <w:r>
              <w:rPr>
                <w:rFonts w:ascii="仿宋_GB2312" w:hAnsi="仿宋"/>
                <w:sz w:val="24"/>
              </w:rPr>
              <w:t>0.1</w:t>
            </w:r>
          </w:p>
        </w:tc>
        <w:tc>
          <w:tcPr>
            <w:tcW w:w="1415" w:type="dxa"/>
            <w:vAlign w:val="top"/>
          </w:tcPr>
          <w:p w14:paraId="64EA14A5">
            <w:pPr>
              <w:jc w:val="left"/>
            </w:pPr>
            <w:r>
              <w:rPr>
                <w:rFonts w:ascii="仿宋_GB2312" w:hAnsi="仿宋"/>
                <w:sz w:val="24"/>
              </w:rPr>
              <w:t>0.1</w:t>
            </w:r>
          </w:p>
        </w:tc>
        <w:tc>
          <w:tcPr>
            <w:tcW w:w="1364" w:type="dxa"/>
            <w:vAlign w:val="top"/>
          </w:tcPr>
          <w:p w14:paraId="071C623D">
            <w:pPr>
              <w:jc w:val="left"/>
            </w:pPr>
          </w:p>
        </w:tc>
        <w:tc>
          <w:tcPr>
            <w:tcW w:w="1079" w:type="dxa"/>
            <w:vAlign w:val="top"/>
          </w:tcPr>
          <w:p w14:paraId="789F7FBC">
            <w:pPr>
              <w:jc w:val="left"/>
            </w:pPr>
            <w:r>
              <w:rPr>
                <w:rFonts w:ascii="仿宋_GB2312" w:hAnsi="仿宋"/>
                <w:sz w:val="24"/>
              </w:rPr>
              <w:t>0.4</w:t>
            </w:r>
          </w:p>
        </w:tc>
      </w:tr>
      <w:tr w14:paraId="3D2BEB3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257DBFB5">
            <w:pPr>
              <w:jc w:val="left"/>
            </w:pPr>
            <w:r>
              <w:rPr>
                <w:rFonts w:ascii="仿宋_GB2312" w:hAnsi="仿宋"/>
                <w:sz w:val="24"/>
              </w:rPr>
              <w:t>连城县</w:t>
            </w:r>
          </w:p>
        </w:tc>
        <w:tc>
          <w:tcPr>
            <w:tcW w:w="1187" w:type="dxa"/>
            <w:vAlign w:val="top"/>
          </w:tcPr>
          <w:p w14:paraId="5BD0619F">
            <w:pPr>
              <w:jc w:val="left"/>
            </w:pPr>
            <w:r>
              <w:rPr>
                <w:rFonts w:ascii="仿宋_GB2312" w:hAnsi="仿宋"/>
                <w:sz w:val="24"/>
              </w:rPr>
              <w:t>0.2</w:t>
            </w:r>
          </w:p>
        </w:tc>
        <w:tc>
          <w:tcPr>
            <w:tcW w:w="1200" w:type="dxa"/>
            <w:vAlign w:val="top"/>
          </w:tcPr>
          <w:p w14:paraId="46B7F8FB">
            <w:pPr>
              <w:jc w:val="left"/>
            </w:pPr>
            <w:r>
              <w:rPr>
                <w:rFonts w:ascii="仿宋_GB2312" w:hAnsi="仿宋"/>
                <w:sz w:val="24"/>
              </w:rPr>
              <w:t>0.1</w:t>
            </w:r>
          </w:p>
        </w:tc>
        <w:tc>
          <w:tcPr>
            <w:tcW w:w="1415" w:type="dxa"/>
            <w:vAlign w:val="top"/>
          </w:tcPr>
          <w:p w14:paraId="3C586F85">
            <w:pPr>
              <w:jc w:val="left"/>
            </w:pPr>
            <w:r>
              <w:rPr>
                <w:rFonts w:ascii="仿宋_GB2312" w:hAnsi="仿宋"/>
                <w:sz w:val="24"/>
              </w:rPr>
              <w:t>0.1</w:t>
            </w:r>
          </w:p>
        </w:tc>
        <w:tc>
          <w:tcPr>
            <w:tcW w:w="1364" w:type="dxa"/>
            <w:vAlign w:val="top"/>
          </w:tcPr>
          <w:p w14:paraId="620ECCEF">
            <w:pPr>
              <w:jc w:val="left"/>
            </w:pPr>
          </w:p>
        </w:tc>
        <w:tc>
          <w:tcPr>
            <w:tcW w:w="1079" w:type="dxa"/>
            <w:vAlign w:val="top"/>
          </w:tcPr>
          <w:p w14:paraId="6CE0869C">
            <w:pPr>
              <w:jc w:val="left"/>
            </w:pPr>
            <w:r>
              <w:rPr>
                <w:rFonts w:ascii="仿宋_GB2312" w:hAnsi="仿宋"/>
                <w:sz w:val="24"/>
              </w:rPr>
              <w:t>0.4</w:t>
            </w:r>
          </w:p>
        </w:tc>
      </w:tr>
      <w:tr w14:paraId="269F0CB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31F8E65">
            <w:pPr>
              <w:jc w:val="left"/>
            </w:pPr>
            <w:r>
              <w:rPr>
                <w:rFonts w:ascii="仿宋_GB2312" w:hAnsi="仿宋"/>
                <w:b/>
                <w:sz w:val="24"/>
              </w:rPr>
              <w:t>宁德市</w:t>
            </w:r>
          </w:p>
        </w:tc>
        <w:tc>
          <w:tcPr>
            <w:tcW w:w="1187" w:type="dxa"/>
            <w:vAlign w:val="top"/>
          </w:tcPr>
          <w:p w14:paraId="03F335CD">
            <w:pPr>
              <w:jc w:val="left"/>
            </w:pPr>
            <w:r>
              <w:rPr>
                <w:rFonts w:ascii="仿宋_GB2312" w:hAnsi="仿宋"/>
                <w:sz w:val="24"/>
              </w:rPr>
              <w:t>3.6</w:t>
            </w:r>
          </w:p>
        </w:tc>
        <w:tc>
          <w:tcPr>
            <w:tcW w:w="1200" w:type="dxa"/>
            <w:vAlign w:val="top"/>
          </w:tcPr>
          <w:p w14:paraId="23A60BB6">
            <w:pPr>
              <w:jc w:val="left"/>
            </w:pPr>
            <w:r>
              <w:rPr>
                <w:rFonts w:ascii="仿宋_GB2312" w:hAnsi="仿宋"/>
                <w:sz w:val="24"/>
              </w:rPr>
              <w:t>2.5</w:t>
            </w:r>
          </w:p>
        </w:tc>
        <w:tc>
          <w:tcPr>
            <w:tcW w:w="1415" w:type="dxa"/>
            <w:vAlign w:val="top"/>
          </w:tcPr>
          <w:p w14:paraId="0C4C7F6C">
            <w:pPr>
              <w:jc w:val="left"/>
            </w:pPr>
            <w:r>
              <w:rPr>
                <w:rFonts w:ascii="仿宋_GB2312" w:hAnsi="仿宋"/>
                <w:sz w:val="24"/>
              </w:rPr>
              <w:t>10.8</w:t>
            </w:r>
          </w:p>
        </w:tc>
        <w:tc>
          <w:tcPr>
            <w:tcW w:w="1364" w:type="dxa"/>
            <w:vAlign w:val="top"/>
          </w:tcPr>
          <w:p w14:paraId="1AF82FE5">
            <w:pPr>
              <w:jc w:val="left"/>
            </w:pPr>
            <w:r>
              <w:rPr>
                <w:rFonts w:ascii="仿宋_GB2312" w:hAnsi="仿宋"/>
                <w:sz w:val="24"/>
              </w:rPr>
              <w:t>0.4</w:t>
            </w:r>
          </w:p>
        </w:tc>
        <w:tc>
          <w:tcPr>
            <w:tcW w:w="1079" w:type="dxa"/>
            <w:vAlign w:val="top"/>
          </w:tcPr>
          <w:p w14:paraId="3F78EDF7">
            <w:pPr>
              <w:jc w:val="left"/>
            </w:pPr>
            <w:r>
              <w:rPr>
                <w:rFonts w:ascii="仿宋_GB2312" w:hAnsi="仿宋"/>
                <w:sz w:val="24"/>
              </w:rPr>
              <w:t>17.3</w:t>
            </w:r>
          </w:p>
        </w:tc>
      </w:tr>
      <w:tr w14:paraId="6891AED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25FA8DC8">
            <w:pPr>
              <w:jc w:val="left"/>
            </w:pPr>
            <w:r>
              <w:rPr>
                <w:rFonts w:ascii="仿宋_GB2312" w:hAnsi="仿宋"/>
                <w:sz w:val="24"/>
              </w:rPr>
              <w:t>市区</w:t>
            </w:r>
          </w:p>
        </w:tc>
        <w:tc>
          <w:tcPr>
            <w:tcW w:w="1187" w:type="dxa"/>
            <w:vAlign w:val="top"/>
          </w:tcPr>
          <w:p w14:paraId="1789AE14">
            <w:pPr>
              <w:jc w:val="left"/>
            </w:pPr>
            <w:r>
              <w:rPr>
                <w:rFonts w:ascii="仿宋_GB2312" w:hAnsi="仿宋"/>
                <w:sz w:val="24"/>
              </w:rPr>
              <w:t>0.7</w:t>
            </w:r>
          </w:p>
        </w:tc>
        <w:tc>
          <w:tcPr>
            <w:tcW w:w="1200" w:type="dxa"/>
            <w:vAlign w:val="top"/>
          </w:tcPr>
          <w:p w14:paraId="0B126475">
            <w:pPr>
              <w:jc w:val="left"/>
            </w:pPr>
            <w:r>
              <w:rPr>
                <w:rFonts w:ascii="仿宋_GB2312" w:hAnsi="仿宋"/>
                <w:sz w:val="24"/>
              </w:rPr>
              <w:t>0.5</w:t>
            </w:r>
          </w:p>
        </w:tc>
        <w:tc>
          <w:tcPr>
            <w:tcW w:w="1415" w:type="dxa"/>
            <w:vAlign w:val="top"/>
          </w:tcPr>
          <w:p w14:paraId="081FB956">
            <w:pPr>
              <w:jc w:val="left"/>
            </w:pPr>
            <w:r>
              <w:rPr>
                <w:rFonts w:ascii="仿宋_GB2312" w:hAnsi="仿宋"/>
                <w:sz w:val="24"/>
              </w:rPr>
              <w:t>3.1</w:t>
            </w:r>
          </w:p>
        </w:tc>
        <w:tc>
          <w:tcPr>
            <w:tcW w:w="1364" w:type="dxa"/>
            <w:vAlign w:val="top"/>
          </w:tcPr>
          <w:p w14:paraId="7057631E">
            <w:pPr>
              <w:jc w:val="left"/>
            </w:pPr>
          </w:p>
        </w:tc>
        <w:tc>
          <w:tcPr>
            <w:tcW w:w="1079" w:type="dxa"/>
            <w:vAlign w:val="top"/>
          </w:tcPr>
          <w:p w14:paraId="6BE1EC8D">
            <w:pPr>
              <w:jc w:val="left"/>
            </w:pPr>
            <w:r>
              <w:rPr>
                <w:rFonts w:ascii="仿宋_GB2312" w:hAnsi="仿宋"/>
                <w:sz w:val="24"/>
              </w:rPr>
              <w:t>4.3</w:t>
            </w:r>
          </w:p>
        </w:tc>
      </w:tr>
      <w:tr w14:paraId="59D3A10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56A0B571">
            <w:pPr>
              <w:jc w:val="left"/>
            </w:pPr>
            <w:r>
              <w:rPr>
                <w:rFonts w:ascii="仿宋_GB2312" w:hAnsi="仿宋"/>
                <w:sz w:val="24"/>
              </w:rPr>
              <w:t>福安市</w:t>
            </w:r>
          </w:p>
        </w:tc>
        <w:tc>
          <w:tcPr>
            <w:tcW w:w="1187" w:type="dxa"/>
            <w:vAlign w:val="top"/>
          </w:tcPr>
          <w:p w14:paraId="30266450">
            <w:pPr>
              <w:jc w:val="left"/>
            </w:pPr>
            <w:r>
              <w:rPr>
                <w:rFonts w:ascii="仿宋_GB2312" w:hAnsi="仿宋"/>
                <w:sz w:val="24"/>
              </w:rPr>
              <w:t>1.1</w:t>
            </w:r>
          </w:p>
        </w:tc>
        <w:tc>
          <w:tcPr>
            <w:tcW w:w="1200" w:type="dxa"/>
            <w:vAlign w:val="top"/>
          </w:tcPr>
          <w:p w14:paraId="59B5CC06">
            <w:pPr>
              <w:jc w:val="left"/>
            </w:pPr>
            <w:r>
              <w:rPr>
                <w:rFonts w:ascii="仿宋_GB2312" w:hAnsi="仿宋"/>
                <w:sz w:val="24"/>
              </w:rPr>
              <w:t>0.8</w:t>
            </w:r>
          </w:p>
        </w:tc>
        <w:tc>
          <w:tcPr>
            <w:tcW w:w="1415" w:type="dxa"/>
            <w:vAlign w:val="top"/>
          </w:tcPr>
          <w:p w14:paraId="014A1571">
            <w:pPr>
              <w:jc w:val="left"/>
            </w:pPr>
            <w:r>
              <w:rPr>
                <w:rFonts w:ascii="仿宋_GB2312" w:hAnsi="仿宋"/>
                <w:sz w:val="24"/>
              </w:rPr>
              <w:t>3.2</w:t>
            </w:r>
          </w:p>
        </w:tc>
        <w:tc>
          <w:tcPr>
            <w:tcW w:w="1364" w:type="dxa"/>
            <w:vAlign w:val="top"/>
          </w:tcPr>
          <w:p w14:paraId="133B879E">
            <w:pPr>
              <w:jc w:val="left"/>
            </w:pPr>
          </w:p>
        </w:tc>
        <w:tc>
          <w:tcPr>
            <w:tcW w:w="1079" w:type="dxa"/>
            <w:vAlign w:val="top"/>
          </w:tcPr>
          <w:p w14:paraId="17798506">
            <w:pPr>
              <w:jc w:val="left"/>
            </w:pPr>
            <w:r>
              <w:rPr>
                <w:rFonts w:ascii="仿宋_GB2312" w:hAnsi="仿宋"/>
                <w:sz w:val="24"/>
              </w:rPr>
              <w:t>5.1</w:t>
            </w:r>
          </w:p>
        </w:tc>
      </w:tr>
      <w:tr w14:paraId="2FA1F0F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02FDB004">
            <w:pPr>
              <w:jc w:val="left"/>
            </w:pPr>
            <w:r>
              <w:rPr>
                <w:rFonts w:ascii="仿宋_GB2312" w:hAnsi="仿宋"/>
                <w:sz w:val="24"/>
              </w:rPr>
              <w:t>福鼎市</w:t>
            </w:r>
          </w:p>
        </w:tc>
        <w:tc>
          <w:tcPr>
            <w:tcW w:w="1187" w:type="dxa"/>
            <w:vAlign w:val="top"/>
          </w:tcPr>
          <w:p w14:paraId="347B181B">
            <w:pPr>
              <w:jc w:val="left"/>
            </w:pPr>
            <w:r>
              <w:rPr>
                <w:rFonts w:ascii="仿宋_GB2312" w:hAnsi="仿宋"/>
                <w:sz w:val="24"/>
              </w:rPr>
              <w:t>0.9</w:t>
            </w:r>
          </w:p>
        </w:tc>
        <w:tc>
          <w:tcPr>
            <w:tcW w:w="1200" w:type="dxa"/>
            <w:vAlign w:val="top"/>
          </w:tcPr>
          <w:p w14:paraId="50431717">
            <w:pPr>
              <w:jc w:val="left"/>
            </w:pPr>
            <w:r>
              <w:rPr>
                <w:rFonts w:ascii="仿宋_GB2312" w:hAnsi="仿宋"/>
                <w:sz w:val="24"/>
              </w:rPr>
              <w:t>0.7</w:t>
            </w:r>
          </w:p>
        </w:tc>
        <w:tc>
          <w:tcPr>
            <w:tcW w:w="1415" w:type="dxa"/>
            <w:vAlign w:val="top"/>
          </w:tcPr>
          <w:p w14:paraId="22AAA427">
            <w:pPr>
              <w:jc w:val="left"/>
            </w:pPr>
            <w:r>
              <w:rPr>
                <w:rFonts w:ascii="仿宋_GB2312" w:hAnsi="仿宋"/>
                <w:sz w:val="24"/>
              </w:rPr>
              <w:t>3.2</w:t>
            </w:r>
          </w:p>
        </w:tc>
        <w:tc>
          <w:tcPr>
            <w:tcW w:w="1364" w:type="dxa"/>
            <w:vAlign w:val="top"/>
          </w:tcPr>
          <w:p w14:paraId="6B359A38">
            <w:pPr>
              <w:jc w:val="left"/>
            </w:pPr>
          </w:p>
        </w:tc>
        <w:tc>
          <w:tcPr>
            <w:tcW w:w="1079" w:type="dxa"/>
            <w:vAlign w:val="top"/>
          </w:tcPr>
          <w:p w14:paraId="60C792D9">
            <w:pPr>
              <w:jc w:val="left"/>
            </w:pPr>
            <w:r>
              <w:rPr>
                <w:rFonts w:ascii="仿宋_GB2312" w:hAnsi="仿宋"/>
                <w:sz w:val="24"/>
              </w:rPr>
              <w:t>4.8</w:t>
            </w:r>
          </w:p>
        </w:tc>
      </w:tr>
      <w:tr w14:paraId="4C768C8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6AD5469">
            <w:pPr>
              <w:jc w:val="left"/>
            </w:pPr>
            <w:r>
              <w:rPr>
                <w:rFonts w:ascii="仿宋_GB2312" w:hAnsi="仿宋"/>
                <w:sz w:val="24"/>
              </w:rPr>
              <w:t>霞浦县</w:t>
            </w:r>
          </w:p>
        </w:tc>
        <w:tc>
          <w:tcPr>
            <w:tcW w:w="1187" w:type="dxa"/>
            <w:vAlign w:val="top"/>
          </w:tcPr>
          <w:p w14:paraId="1000D67F">
            <w:pPr>
              <w:jc w:val="left"/>
            </w:pPr>
            <w:r>
              <w:rPr>
                <w:rFonts w:ascii="仿宋_GB2312" w:hAnsi="仿宋"/>
                <w:sz w:val="24"/>
              </w:rPr>
              <w:t>0.4</w:t>
            </w:r>
          </w:p>
        </w:tc>
        <w:tc>
          <w:tcPr>
            <w:tcW w:w="1200" w:type="dxa"/>
            <w:vAlign w:val="top"/>
          </w:tcPr>
          <w:p w14:paraId="0E4B62F4">
            <w:pPr>
              <w:jc w:val="left"/>
            </w:pPr>
            <w:r>
              <w:rPr>
                <w:rFonts w:ascii="仿宋_GB2312" w:hAnsi="仿宋"/>
                <w:sz w:val="24"/>
              </w:rPr>
              <w:t>0.2</w:t>
            </w:r>
          </w:p>
        </w:tc>
        <w:tc>
          <w:tcPr>
            <w:tcW w:w="1415" w:type="dxa"/>
            <w:vAlign w:val="top"/>
          </w:tcPr>
          <w:p w14:paraId="03FBEBB6">
            <w:pPr>
              <w:jc w:val="left"/>
            </w:pPr>
            <w:r>
              <w:rPr>
                <w:rFonts w:ascii="仿宋_GB2312" w:hAnsi="仿宋"/>
                <w:sz w:val="24"/>
              </w:rPr>
              <w:t>0.8</w:t>
            </w:r>
          </w:p>
        </w:tc>
        <w:tc>
          <w:tcPr>
            <w:tcW w:w="1364" w:type="dxa"/>
            <w:vAlign w:val="top"/>
          </w:tcPr>
          <w:p w14:paraId="60447A58">
            <w:pPr>
              <w:jc w:val="left"/>
            </w:pPr>
          </w:p>
        </w:tc>
        <w:tc>
          <w:tcPr>
            <w:tcW w:w="1079" w:type="dxa"/>
            <w:vAlign w:val="top"/>
          </w:tcPr>
          <w:p w14:paraId="3E1FFFA4">
            <w:pPr>
              <w:jc w:val="left"/>
            </w:pPr>
            <w:r>
              <w:rPr>
                <w:rFonts w:ascii="仿宋_GB2312" w:hAnsi="仿宋"/>
                <w:sz w:val="24"/>
              </w:rPr>
              <w:t>1.4</w:t>
            </w:r>
          </w:p>
        </w:tc>
      </w:tr>
      <w:tr w14:paraId="7988D5E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16585543">
            <w:pPr>
              <w:jc w:val="left"/>
            </w:pPr>
            <w:r>
              <w:rPr>
                <w:rFonts w:ascii="仿宋_GB2312" w:hAnsi="仿宋"/>
                <w:sz w:val="24"/>
              </w:rPr>
              <w:t>古田县</w:t>
            </w:r>
          </w:p>
        </w:tc>
        <w:tc>
          <w:tcPr>
            <w:tcW w:w="1187" w:type="dxa"/>
            <w:vAlign w:val="top"/>
          </w:tcPr>
          <w:p w14:paraId="0DB60B93">
            <w:pPr>
              <w:jc w:val="left"/>
            </w:pPr>
            <w:r>
              <w:rPr>
                <w:rFonts w:ascii="仿宋_GB2312" w:hAnsi="仿宋"/>
                <w:sz w:val="24"/>
              </w:rPr>
              <w:t>0.4</w:t>
            </w:r>
          </w:p>
        </w:tc>
        <w:tc>
          <w:tcPr>
            <w:tcW w:w="1200" w:type="dxa"/>
            <w:vAlign w:val="top"/>
          </w:tcPr>
          <w:p w14:paraId="4FFBDD21">
            <w:pPr>
              <w:jc w:val="left"/>
            </w:pPr>
            <w:r>
              <w:rPr>
                <w:rFonts w:ascii="仿宋_GB2312" w:hAnsi="仿宋"/>
                <w:sz w:val="24"/>
              </w:rPr>
              <w:t>0.2</w:t>
            </w:r>
          </w:p>
        </w:tc>
        <w:tc>
          <w:tcPr>
            <w:tcW w:w="1415" w:type="dxa"/>
            <w:vAlign w:val="top"/>
          </w:tcPr>
          <w:p w14:paraId="55D91EDA">
            <w:pPr>
              <w:jc w:val="left"/>
            </w:pPr>
            <w:r>
              <w:rPr>
                <w:rFonts w:ascii="仿宋_GB2312" w:hAnsi="仿宋"/>
                <w:sz w:val="24"/>
              </w:rPr>
              <w:t>0.4</w:t>
            </w:r>
          </w:p>
        </w:tc>
        <w:tc>
          <w:tcPr>
            <w:tcW w:w="1364" w:type="dxa"/>
            <w:vAlign w:val="top"/>
          </w:tcPr>
          <w:p w14:paraId="40B6BF0D">
            <w:pPr>
              <w:jc w:val="left"/>
            </w:pPr>
          </w:p>
        </w:tc>
        <w:tc>
          <w:tcPr>
            <w:tcW w:w="1079" w:type="dxa"/>
            <w:vAlign w:val="top"/>
          </w:tcPr>
          <w:p w14:paraId="37F55A75">
            <w:pPr>
              <w:jc w:val="left"/>
            </w:pPr>
            <w:r>
              <w:rPr>
                <w:rFonts w:ascii="仿宋_GB2312" w:hAnsi="仿宋"/>
                <w:sz w:val="24"/>
              </w:rPr>
              <w:t>1</w:t>
            </w:r>
          </w:p>
        </w:tc>
      </w:tr>
      <w:tr w14:paraId="2AD72E2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253B0F8A">
            <w:pPr>
              <w:jc w:val="left"/>
            </w:pPr>
            <w:r>
              <w:rPr>
                <w:rFonts w:ascii="仿宋_GB2312" w:hAnsi="仿宋"/>
                <w:sz w:val="24"/>
              </w:rPr>
              <w:t>屏南县</w:t>
            </w:r>
          </w:p>
        </w:tc>
        <w:tc>
          <w:tcPr>
            <w:tcW w:w="1187" w:type="dxa"/>
            <w:vAlign w:val="top"/>
          </w:tcPr>
          <w:p w14:paraId="1C22F5EC">
            <w:pPr>
              <w:jc w:val="left"/>
            </w:pPr>
            <w:r>
              <w:rPr>
                <w:rFonts w:ascii="仿宋_GB2312" w:hAnsi="仿宋"/>
                <w:sz w:val="24"/>
              </w:rPr>
              <w:t>×</w:t>
            </w:r>
          </w:p>
        </w:tc>
        <w:tc>
          <w:tcPr>
            <w:tcW w:w="1200" w:type="dxa"/>
            <w:vAlign w:val="top"/>
          </w:tcPr>
          <w:p w14:paraId="050B2157">
            <w:pPr>
              <w:jc w:val="left"/>
            </w:pPr>
            <w:r>
              <w:rPr>
                <w:rFonts w:ascii="仿宋_GB2312" w:hAnsi="仿宋"/>
                <w:sz w:val="24"/>
              </w:rPr>
              <w:t>×</w:t>
            </w:r>
          </w:p>
        </w:tc>
        <w:tc>
          <w:tcPr>
            <w:tcW w:w="1415" w:type="dxa"/>
            <w:vAlign w:val="top"/>
          </w:tcPr>
          <w:p w14:paraId="42B088D7">
            <w:pPr>
              <w:jc w:val="left"/>
            </w:pPr>
            <w:r>
              <w:rPr>
                <w:rFonts w:ascii="仿宋_GB2312" w:hAnsi="仿宋"/>
                <w:sz w:val="24"/>
              </w:rPr>
              <w:t>×</w:t>
            </w:r>
          </w:p>
        </w:tc>
        <w:tc>
          <w:tcPr>
            <w:tcW w:w="1364" w:type="dxa"/>
            <w:vAlign w:val="top"/>
          </w:tcPr>
          <w:p w14:paraId="46C4BFB4">
            <w:pPr>
              <w:jc w:val="left"/>
            </w:pPr>
          </w:p>
        </w:tc>
        <w:tc>
          <w:tcPr>
            <w:tcW w:w="1079" w:type="dxa"/>
            <w:vAlign w:val="top"/>
          </w:tcPr>
          <w:p w14:paraId="28AC3668">
            <w:pPr>
              <w:jc w:val="left"/>
            </w:pPr>
            <w:r>
              <w:rPr>
                <w:rFonts w:ascii="仿宋_GB2312" w:hAnsi="仿宋"/>
                <w:sz w:val="24"/>
              </w:rPr>
              <w:t>×</w:t>
            </w:r>
          </w:p>
        </w:tc>
      </w:tr>
      <w:tr w14:paraId="21F76BA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7C80CFD0">
            <w:pPr>
              <w:jc w:val="left"/>
            </w:pPr>
            <w:r>
              <w:rPr>
                <w:rFonts w:ascii="仿宋_GB2312" w:hAnsi="仿宋"/>
                <w:sz w:val="24"/>
              </w:rPr>
              <w:t>寿宁县</w:t>
            </w:r>
          </w:p>
        </w:tc>
        <w:tc>
          <w:tcPr>
            <w:tcW w:w="1187" w:type="dxa"/>
            <w:vAlign w:val="top"/>
          </w:tcPr>
          <w:p w14:paraId="51865B14">
            <w:pPr>
              <w:jc w:val="left"/>
            </w:pPr>
            <w:r>
              <w:rPr>
                <w:rFonts w:ascii="仿宋_GB2312" w:hAnsi="仿宋"/>
                <w:sz w:val="24"/>
              </w:rPr>
              <w:t>0.1</w:t>
            </w:r>
          </w:p>
        </w:tc>
        <w:tc>
          <w:tcPr>
            <w:tcW w:w="1200" w:type="dxa"/>
            <w:vAlign w:val="top"/>
          </w:tcPr>
          <w:p w14:paraId="18C1203D">
            <w:pPr>
              <w:jc w:val="left"/>
            </w:pPr>
            <w:r>
              <w:rPr>
                <w:rFonts w:ascii="仿宋_GB2312" w:hAnsi="仿宋"/>
                <w:sz w:val="24"/>
              </w:rPr>
              <w:t>0.1</w:t>
            </w:r>
          </w:p>
        </w:tc>
        <w:tc>
          <w:tcPr>
            <w:tcW w:w="1415" w:type="dxa"/>
            <w:vAlign w:val="top"/>
          </w:tcPr>
          <w:p w14:paraId="510ABAB9">
            <w:pPr>
              <w:jc w:val="left"/>
            </w:pPr>
            <w:r>
              <w:rPr>
                <w:rFonts w:ascii="仿宋_GB2312" w:hAnsi="仿宋"/>
                <w:sz w:val="24"/>
              </w:rPr>
              <w:t>0.1</w:t>
            </w:r>
          </w:p>
        </w:tc>
        <w:tc>
          <w:tcPr>
            <w:tcW w:w="1364" w:type="dxa"/>
            <w:vAlign w:val="top"/>
          </w:tcPr>
          <w:p w14:paraId="546DD880">
            <w:pPr>
              <w:jc w:val="left"/>
            </w:pPr>
          </w:p>
        </w:tc>
        <w:tc>
          <w:tcPr>
            <w:tcW w:w="1079" w:type="dxa"/>
            <w:vAlign w:val="top"/>
          </w:tcPr>
          <w:p w14:paraId="2A9D25D9">
            <w:pPr>
              <w:jc w:val="left"/>
            </w:pPr>
            <w:r>
              <w:rPr>
                <w:rFonts w:ascii="仿宋_GB2312" w:hAnsi="仿宋"/>
                <w:sz w:val="24"/>
              </w:rPr>
              <w:t>0.3</w:t>
            </w:r>
          </w:p>
        </w:tc>
      </w:tr>
      <w:tr w14:paraId="013AD60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00F6C7E">
            <w:pPr>
              <w:jc w:val="left"/>
            </w:pPr>
            <w:r>
              <w:rPr>
                <w:rFonts w:ascii="仿宋_GB2312" w:hAnsi="仿宋"/>
                <w:sz w:val="24"/>
              </w:rPr>
              <w:t>周宁县</w:t>
            </w:r>
          </w:p>
        </w:tc>
        <w:tc>
          <w:tcPr>
            <w:tcW w:w="1187" w:type="dxa"/>
            <w:vAlign w:val="top"/>
          </w:tcPr>
          <w:p w14:paraId="62F6A8A4">
            <w:pPr>
              <w:jc w:val="left"/>
            </w:pPr>
            <w:r>
              <w:rPr>
                <w:rFonts w:ascii="仿宋_GB2312" w:hAnsi="仿宋"/>
                <w:sz w:val="24"/>
              </w:rPr>
              <w:t>×</w:t>
            </w:r>
          </w:p>
        </w:tc>
        <w:tc>
          <w:tcPr>
            <w:tcW w:w="1200" w:type="dxa"/>
            <w:vAlign w:val="top"/>
          </w:tcPr>
          <w:p w14:paraId="227BE359">
            <w:pPr>
              <w:jc w:val="left"/>
            </w:pPr>
            <w:r>
              <w:rPr>
                <w:rFonts w:ascii="仿宋_GB2312" w:hAnsi="仿宋"/>
                <w:sz w:val="24"/>
              </w:rPr>
              <w:t>×</w:t>
            </w:r>
          </w:p>
        </w:tc>
        <w:tc>
          <w:tcPr>
            <w:tcW w:w="1415" w:type="dxa"/>
            <w:vAlign w:val="top"/>
          </w:tcPr>
          <w:p w14:paraId="4FF81190">
            <w:pPr>
              <w:jc w:val="left"/>
            </w:pPr>
            <w:r>
              <w:rPr>
                <w:rFonts w:ascii="仿宋_GB2312" w:hAnsi="仿宋"/>
                <w:sz w:val="24"/>
              </w:rPr>
              <w:t>×</w:t>
            </w:r>
          </w:p>
        </w:tc>
        <w:tc>
          <w:tcPr>
            <w:tcW w:w="1364" w:type="dxa"/>
            <w:vAlign w:val="top"/>
          </w:tcPr>
          <w:p w14:paraId="59AE40A1">
            <w:pPr>
              <w:jc w:val="left"/>
            </w:pPr>
          </w:p>
        </w:tc>
        <w:tc>
          <w:tcPr>
            <w:tcW w:w="1079" w:type="dxa"/>
            <w:vAlign w:val="top"/>
          </w:tcPr>
          <w:p w14:paraId="48CCA339">
            <w:pPr>
              <w:jc w:val="left"/>
            </w:pPr>
            <w:r>
              <w:rPr>
                <w:rFonts w:ascii="仿宋_GB2312" w:hAnsi="仿宋"/>
                <w:sz w:val="24"/>
              </w:rPr>
              <w:t>×</w:t>
            </w:r>
          </w:p>
        </w:tc>
      </w:tr>
      <w:tr w14:paraId="7AB942B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59E6B0DE">
            <w:pPr>
              <w:jc w:val="left"/>
            </w:pPr>
            <w:r>
              <w:rPr>
                <w:rFonts w:ascii="仿宋_GB2312" w:hAnsi="仿宋"/>
                <w:sz w:val="24"/>
              </w:rPr>
              <w:t>柘荣县</w:t>
            </w:r>
          </w:p>
        </w:tc>
        <w:tc>
          <w:tcPr>
            <w:tcW w:w="1187" w:type="dxa"/>
            <w:vAlign w:val="top"/>
          </w:tcPr>
          <w:p w14:paraId="6A0E3FF4">
            <w:pPr>
              <w:jc w:val="left"/>
            </w:pPr>
            <w:r>
              <w:rPr>
                <w:rFonts w:ascii="仿宋_GB2312" w:hAnsi="仿宋"/>
                <w:sz w:val="24"/>
              </w:rPr>
              <w:t>×</w:t>
            </w:r>
          </w:p>
        </w:tc>
        <w:tc>
          <w:tcPr>
            <w:tcW w:w="1200" w:type="dxa"/>
            <w:vAlign w:val="top"/>
          </w:tcPr>
          <w:p w14:paraId="35681A43">
            <w:pPr>
              <w:jc w:val="left"/>
            </w:pPr>
            <w:r>
              <w:rPr>
                <w:rFonts w:ascii="仿宋_GB2312" w:hAnsi="仿宋"/>
                <w:sz w:val="24"/>
              </w:rPr>
              <w:t>×</w:t>
            </w:r>
          </w:p>
        </w:tc>
        <w:tc>
          <w:tcPr>
            <w:tcW w:w="1415" w:type="dxa"/>
            <w:vAlign w:val="top"/>
          </w:tcPr>
          <w:p w14:paraId="1255BF70">
            <w:pPr>
              <w:jc w:val="left"/>
            </w:pPr>
            <w:r>
              <w:rPr>
                <w:rFonts w:ascii="仿宋_GB2312" w:hAnsi="仿宋"/>
                <w:sz w:val="24"/>
              </w:rPr>
              <w:t>×</w:t>
            </w:r>
          </w:p>
        </w:tc>
        <w:tc>
          <w:tcPr>
            <w:tcW w:w="1364" w:type="dxa"/>
            <w:vAlign w:val="top"/>
          </w:tcPr>
          <w:p w14:paraId="01A997CE">
            <w:pPr>
              <w:jc w:val="left"/>
            </w:pPr>
          </w:p>
        </w:tc>
        <w:tc>
          <w:tcPr>
            <w:tcW w:w="1079" w:type="dxa"/>
            <w:vAlign w:val="top"/>
          </w:tcPr>
          <w:p w14:paraId="0014CA36">
            <w:pPr>
              <w:jc w:val="left"/>
            </w:pPr>
            <w:r>
              <w:rPr>
                <w:rFonts w:ascii="仿宋_GB2312" w:hAnsi="仿宋"/>
                <w:sz w:val="24"/>
              </w:rPr>
              <w:t>×</w:t>
            </w:r>
          </w:p>
        </w:tc>
      </w:tr>
      <w:tr w14:paraId="540494D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3BC5614E">
            <w:pPr>
              <w:jc w:val="left"/>
            </w:pPr>
            <w:r>
              <w:rPr>
                <w:rFonts w:ascii="仿宋_GB2312" w:hAnsi="仿宋"/>
                <w:sz w:val="24"/>
              </w:rPr>
              <w:t>平潭综合实验区</w:t>
            </w:r>
          </w:p>
        </w:tc>
        <w:tc>
          <w:tcPr>
            <w:tcW w:w="1187" w:type="dxa"/>
            <w:vAlign w:val="top"/>
          </w:tcPr>
          <w:p w14:paraId="7818AADF">
            <w:pPr>
              <w:jc w:val="left"/>
            </w:pPr>
            <w:r>
              <w:rPr>
                <w:rFonts w:ascii="仿宋_GB2312" w:hAnsi="仿宋"/>
                <w:sz w:val="24"/>
              </w:rPr>
              <w:t>0.2</w:t>
            </w:r>
          </w:p>
        </w:tc>
        <w:tc>
          <w:tcPr>
            <w:tcW w:w="1200" w:type="dxa"/>
            <w:vAlign w:val="top"/>
          </w:tcPr>
          <w:p w14:paraId="0E56D928">
            <w:pPr>
              <w:jc w:val="left"/>
            </w:pPr>
            <w:r>
              <w:rPr>
                <w:rFonts w:ascii="仿宋_GB2312" w:hAnsi="仿宋"/>
                <w:sz w:val="24"/>
              </w:rPr>
              <w:t>0.1</w:t>
            </w:r>
          </w:p>
        </w:tc>
        <w:tc>
          <w:tcPr>
            <w:tcW w:w="1415" w:type="dxa"/>
            <w:vAlign w:val="top"/>
          </w:tcPr>
          <w:p w14:paraId="1036329F">
            <w:pPr>
              <w:jc w:val="left"/>
            </w:pPr>
            <w:r>
              <w:rPr>
                <w:rFonts w:ascii="仿宋_GB2312" w:hAnsi="仿宋"/>
                <w:sz w:val="24"/>
              </w:rPr>
              <w:t>0.2</w:t>
            </w:r>
          </w:p>
        </w:tc>
        <w:tc>
          <w:tcPr>
            <w:tcW w:w="1364" w:type="dxa"/>
            <w:vAlign w:val="top"/>
          </w:tcPr>
          <w:p w14:paraId="2E9CCAB1">
            <w:pPr>
              <w:jc w:val="left"/>
            </w:pPr>
          </w:p>
        </w:tc>
        <w:tc>
          <w:tcPr>
            <w:tcW w:w="1079" w:type="dxa"/>
            <w:vAlign w:val="top"/>
          </w:tcPr>
          <w:p w14:paraId="67B6C172">
            <w:pPr>
              <w:jc w:val="left"/>
            </w:pPr>
            <w:r>
              <w:rPr>
                <w:rFonts w:ascii="仿宋_GB2312" w:hAnsi="仿宋"/>
                <w:sz w:val="24"/>
              </w:rPr>
              <w:t>0.5</w:t>
            </w:r>
          </w:p>
        </w:tc>
      </w:tr>
      <w:tr w14:paraId="5BDA54F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102" w:hRule="atLeast"/>
          <w:jc w:val="center"/>
        </w:trPr>
        <w:tc>
          <w:tcPr>
            <w:tcW w:w="1267" w:type="dxa"/>
            <w:vAlign w:val="top"/>
          </w:tcPr>
          <w:p w14:paraId="172B9133">
            <w:pPr>
              <w:jc w:val="left"/>
            </w:pPr>
            <w:r>
              <w:rPr>
                <w:rFonts w:ascii="仿宋_GB2312" w:hAnsi="仿宋"/>
                <w:b/>
                <w:sz w:val="24"/>
              </w:rPr>
              <w:t>全省合计</w:t>
            </w:r>
          </w:p>
        </w:tc>
        <w:tc>
          <w:tcPr>
            <w:tcW w:w="1187" w:type="dxa"/>
            <w:vAlign w:val="top"/>
          </w:tcPr>
          <w:p w14:paraId="4B5BED7B">
            <w:pPr>
              <w:jc w:val="left"/>
            </w:pPr>
            <w:r>
              <w:rPr>
                <w:b/>
                <w:sz w:val="24"/>
              </w:rPr>
              <w:t>80.9</w:t>
            </w:r>
          </w:p>
        </w:tc>
        <w:tc>
          <w:tcPr>
            <w:tcW w:w="1200" w:type="dxa"/>
            <w:vAlign w:val="top"/>
          </w:tcPr>
          <w:p w14:paraId="7CE940F0">
            <w:pPr>
              <w:jc w:val="left"/>
            </w:pPr>
            <w:r>
              <w:rPr>
                <w:b/>
                <w:sz w:val="24"/>
              </w:rPr>
              <w:t>59.1</w:t>
            </w:r>
          </w:p>
        </w:tc>
        <w:tc>
          <w:tcPr>
            <w:tcW w:w="1415" w:type="dxa"/>
            <w:vAlign w:val="top"/>
          </w:tcPr>
          <w:p w14:paraId="4F47EF05">
            <w:pPr>
              <w:jc w:val="left"/>
            </w:pPr>
            <w:r>
              <w:rPr>
                <w:b/>
                <w:sz w:val="24"/>
              </w:rPr>
              <w:t>191.6</w:t>
            </w:r>
          </w:p>
        </w:tc>
        <w:tc>
          <w:tcPr>
            <w:tcW w:w="1364" w:type="dxa"/>
            <w:vAlign w:val="top"/>
          </w:tcPr>
          <w:p w14:paraId="3EDC1F7A">
            <w:pPr>
              <w:jc w:val="left"/>
            </w:pPr>
            <w:r>
              <w:rPr>
                <w:b/>
                <w:sz w:val="24"/>
              </w:rPr>
              <w:t>28.6</w:t>
            </w:r>
          </w:p>
        </w:tc>
        <w:tc>
          <w:tcPr>
            <w:tcW w:w="1079" w:type="dxa"/>
            <w:vAlign w:val="top"/>
          </w:tcPr>
          <w:p w14:paraId="734B68A3">
            <w:pPr>
              <w:jc w:val="left"/>
            </w:pPr>
            <w:r>
              <w:rPr>
                <w:b/>
                <w:sz w:val="24"/>
              </w:rPr>
              <w:t>360.2</w:t>
            </w:r>
          </w:p>
        </w:tc>
      </w:tr>
    </w:tbl>
    <w:p w14:paraId="08C99AE2">
      <w:pPr>
        <w:jc w:val="left"/>
      </w:pPr>
      <w:r>
        <w:rPr>
          <w:rFonts w:ascii="仿宋_GB2312" w:hAnsi="仿宋"/>
          <w:szCs w:val="21"/>
        </w:rPr>
        <w:tab/>
      </w:r>
      <w:r>
        <w:rPr>
          <w:rFonts w:ascii="仿宋_GB2312" w:hAnsi="仿宋"/>
          <w:szCs w:val="21"/>
        </w:rPr>
        <w:tab/>
      </w:r>
      <w:r>
        <w:rPr>
          <w:rFonts w:ascii="仿宋_GB2312" w:hAnsi="仿宋"/>
          <w:szCs w:val="21"/>
        </w:rPr>
        <w:t>注：×者为不具备建设加气站规模条件，发展天然气汽车缓延。</w:t>
      </w:r>
    </w:p>
    <w:p w14:paraId="3B6CB382">
      <w:pPr>
        <w:spacing w:line="600" w:lineRule="exact"/>
        <w:ind w:firstLine="548"/>
        <w:rPr>
          <w:rFonts w:ascii="仿宋_GB2312" w:hAnsi="仿宋"/>
          <w:sz w:val="29"/>
        </w:rPr>
      </w:pPr>
    </w:p>
    <w:p w14:paraId="17853E64">
      <w:r>
        <w:rPr>
          <w:rFonts w:ascii="仿宋_GB2312" w:hAnsi="仿宋"/>
          <w:sz w:val="29"/>
        </w:rPr>
        <w:t>（七）总需求预测</w:t>
      </w:r>
    </w:p>
    <w:p w14:paraId="78023126">
      <w:pPr>
        <w:spacing w:line="600" w:lineRule="exact"/>
        <w:ind w:firstLine="548"/>
      </w:pPr>
      <w:r>
        <w:rPr>
          <w:rFonts w:ascii="仿宋_GB2312" w:hAnsi="仿宋"/>
          <w:sz w:val="29"/>
        </w:rPr>
        <w:t>综上所述，福建省天然气总需求预测见表5-6。</w:t>
      </w:r>
    </w:p>
    <w:p w14:paraId="1426CD0F">
      <w:pPr>
        <w:spacing w:line="600" w:lineRule="exact"/>
        <w:ind w:firstLine="548"/>
        <w:rPr>
          <w:rFonts w:ascii="仿宋_GB2312" w:hAnsi="仿宋"/>
          <w:sz w:val="29"/>
        </w:rPr>
      </w:pPr>
    </w:p>
    <w:p w14:paraId="586FB5D3">
      <w:pPr>
        <w:spacing w:line="600" w:lineRule="exact"/>
        <w:ind w:firstLine="397"/>
        <w:jc w:val="center"/>
      </w:pPr>
      <w:r>
        <w:rPr>
          <w:rFonts w:ascii="仿宋_GB2312" w:hAnsi="仿宋"/>
          <w:szCs w:val="21"/>
        </w:rPr>
        <w:t xml:space="preserve">表5-6 </w:t>
      </w:r>
      <w:r>
        <w:rPr>
          <w:rFonts w:ascii="仿宋_GB2312" w:hAnsi="仿宋"/>
          <w:sz w:val="29"/>
        </w:rPr>
        <w:t xml:space="preserve"> </w:t>
      </w:r>
      <w:r>
        <w:rPr>
          <w:rFonts w:ascii="仿宋_GB2312" w:hAnsi="仿宋"/>
          <w:sz w:val="24"/>
        </w:rPr>
        <w:t>天然气市场总需求预测表</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886"/>
        <w:gridCol w:w="1519"/>
        <w:gridCol w:w="1995"/>
        <w:gridCol w:w="1362"/>
      </w:tblGrid>
      <w:tr w14:paraId="596456E9">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6" w:type="dxa"/>
            <w:vMerge w:val="restart"/>
            <w:vAlign w:val="center"/>
          </w:tcPr>
          <w:p w14:paraId="64A8D998">
            <w:pPr>
              <w:spacing w:line="600" w:lineRule="exact"/>
              <w:jc w:val="center"/>
            </w:pPr>
            <w:r>
              <w:rPr>
                <w:rFonts w:ascii="仿宋_GB2312" w:hAnsi="仿宋"/>
                <w:sz w:val="24"/>
              </w:rPr>
              <w:t>序号</w:t>
            </w:r>
          </w:p>
        </w:tc>
        <w:tc>
          <w:tcPr>
            <w:tcW w:w="1519" w:type="dxa"/>
            <w:vMerge w:val="restart"/>
            <w:vAlign w:val="center"/>
          </w:tcPr>
          <w:p w14:paraId="63E0DC3C">
            <w:pPr>
              <w:spacing w:line="600" w:lineRule="exact"/>
              <w:jc w:val="center"/>
            </w:pPr>
            <w:r>
              <w:rPr>
                <w:rFonts w:ascii="仿宋_GB2312" w:hAnsi="仿宋"/>
                <w:sz w:val="24"/>
              </w:rPr>
              <w:t>地区名称</w:t>
            </w:r>
          </w:p>
        </w:tc>
        <w:tc>
          <w:tcPr>
            <w:tcW w:w="3357" w:type="dxa"/>
            <w:gridSpan w:val="2"/>
            <w:vAlign w:val="top"/>
          </w:tcPr>
          <w:p w14:paraId="10F1DD39">
            <w:pPr>
              <w:spacing w:line="600" w:lineRule="exact"/>
              <w:jc w:val="center"/>
            </w:pPr>
            <w:r>
              <w:rPr>
                <w:rFonts w:ascii="仿宋_GB2312" w:hAnsi="仿宋"/>
                <w:sz w:val="24"/>
              </w:rPr>
              <w:t>2015年</w:t>
            </w:r>
          </w:p>
        </w:tc>
      </w:tr>
      <w:tr w14:paraId="723CF40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vMerge w:val="continue"/>
          </w:tcPr>
          <w:p w14:paraId="3011C0FD"/>
        </w:tc>
        <w:tc>
          <w:tcPr>
            <w:vMerge w:val="continue"/>
          </w:tcPr>
          <w:p w14:paraId="3C356627"/>
        </w:tc>
        <w:tc>
          <w:tcPr>
            <w:tcW w:w="1995" w:type="dxa"/>
            <w:vAlign w:val="top"/>
          </w:tcPr>
          <w:p w14:paraId="458D21F5">
            <w:pPr>
              <w:spacing w:line="600" w:lineRule="exact"/>
              <w:jc w:val="center"/>
            </w:pPr>
            <w:r>
              <w:rPr>
                <w:rFonts w:ascii="仿宋_GB2312" w:hAnsi="仿宋"/>
                <w:sz w:val="24"/>
              </w:rPr>
              <w:t>万立方米/年</w:t>
            </w:r>
          </w:p>
        </w:tc>
        <w:tc>
          <w:tcPr>
            <w:tcW w:w="1362" w:type="dxa"/>
            <w:vAlign w:val="top"/>
          </w:tcPr>
          <w:p w14:paraId="1AF39CBE">
            <w:pPr>
              <w:spacing w:line="600" w:lineRule="exact"/>
              <w:jc w:val="center"/>
            </w:pPr>
            <w:r>
              <w:rPr>
                <w:rFonts w:ascii="仿宋_GB2312" w:hAnsi="仿宋"/>
                <w:sz w:val="24"/>
              </w:rPr>
              <w:t>万吨/年</w:t>
            </w:r>
          </w:p>
        </w:tc>
      </w:tr>
      <w:tr w14:paraId="238C42C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6" w:type="dxa"/>
            <w:vAlign w:val="top"/>
          </w:tcPr>
          <w:p w14:paraId="197F7A30">
            <w:pPr>
              <w:spacing w:line="600" w:lineRule="exact"/>
              <w:jc w:val="center"/>
            </w:pPr>
            <w:r>
              <w:rPr>
                <w:rFonts w:ascii="仿宋_GB2312" w:hAnsi="仿宋"/>
                <w:sz w:val="24"/>
              </w:rPr>
              <w:t>1</w:t>
            </w:r>
          </w:p>
        </w:tc>
        <w:tc>
          <w:tcPr>
            <w:tcW w:w="1519" w:type="dxa"/>
            <w:vAlign w:val="top"/>
          </w:tcPr>
          <w:p w14:paraId="1D1E0765">
            <w:pPr>
              <w:spacing w:line="600" w:lineRule="exact"/>
            </w:pPr>
            <w:r>
              <w:rPr>
                <w:rFonts w:ascii="仿宋_GB2312" w:hAnsi="仿宋"/>
                <w:sz w:val="24"/>
              </w:rPr>
              <w:t>保守方案</w:t>
            </w:r>
          </w:p>
        </w:tc>
        <w:tc>
          <w:tcPr>
            <w:tcW w:w="1995" w:type="dxa"/>
            <w:vAlign w:val="top"/>
          </w:tcPr>
          <w:p w14:paraId="3CB8DFBC">
            <w:pPr>
              <w:spacing w:line="600" w:lineRule="exact"/>
              <w:jc w:val="center"/>
            </w:pPr>
            <w:r>
              <w:rPr>
                <w:rFonts w:ascii="仿宋_GB2312" w:hAnsi="仿宋"/>
                <w:sz w:val="24"/>
              </w:rPr>
              <w:t>280006.4</w:t>
            </w:r>
          </w:p>
        </w:tc>
        <w:tc>
          <w:tcPr>
            <w:tcW w:w="1362" w:type="dxa"/>
            <w:vAlign w:val="top"/>
          </w:tcPr>
          <w:p w14:paraId="6B3B1583">
            <w:pPr>
              <w:spacing w:line="600" w:lineRule="exact"/>
              <w:jc w:val="center"/>
            </w:pPr>
            <w:r>
              <w:rPr>
                <w:rFonts w:ascii="仿宋_GB2312" w:hAnsi="仿宋"/>
                <w:sz w:val="24"/>
              </w:rPr>
              <w:t>194.5</w:t>
            </w:r>
          </w:p>
        </w:tc>
      </w:tr>
      <w:tr w14:paraId="208894D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6" w:type="dxa"/>
            <w:vAlign w:val="top"/>
          </w:tcPr>
          <w:p w14:paraId="50B26B45">
            <w:pPr>
              <w:spacing w:line="600" w:lineRule="exact"/>
              <w:jc w:val="center"/>
            </w:pPr>
            <w:r>
              <w:rPr>
                <w:rFonts w:ascii="仿宋_GB2312" w:hAnsi="仿宋"/>
                <w:sz w:val="24"/>
              </w:rPr>
              <w:t>2</w:t>
            </w:r>
          </w:p>
        </w:tc>
        <w:tc>
          <w:tcPr>
            <w:tcW w:w="1519" w:type="dxa"/>
            <w:vAlign w:val="top"/>
          </w:tcPr>
          <w:p w14:paraId="7F991A34">
            <w:pPr>
              <w:spacing w:line="600" w:lineRule="exact"/>
            </w:pPr>
            <w:r>
              <w:rPr>
                <w:rFonts w:ascii="仿宋_GB2312" w:hAnsi="仿宋"/>
                <w:sz w:val="24"/>
              </w:rPr>
              <w:t>取中方案</w:t>
            </w:r>
          </w:p>
        </w:tc>
        <w:tc>
          <w:tcPr>
            <w:tcW w:w="1995" w:type="dxa"/>
            <w:vAlign w:val="top"/>
          </w:tcPr>
          <w:p w14:paraId="0903DBB1">
            <w:pPr>
              <w:spacing w:line="600" w:lineRule="exact"/>
              <w:jc w:val="center"/>
            </w:pPr>
            <w:r>
              <w:rPr>
                <w:rFonts w:ascii="仿宋_GB2312" w:hAnsi="仿宋"/>
                <w:sz w:val="24"/>
              </w:rPr>
              <w:t>444725.3</w:t>
            </w:r>
          </w:p>
        </w:tc>
        <w:tc>
          <w:tcPr>
            <w:tcW w:w="1362" w:type="dxa"/>
            <w:vAlign w:val="top"/>
          </w:tcPr>
          <w:p w14:paraId="6784DC8B">
            <w:pPr>
              <w:spacing w:line="600" w:lineRule="exact"/>
              <w:jc w:val="center"/>
            </w:pPr>
            <w:r>
              <w:rPr>
                <w:rFonts w:ascii="仿宋_GB2312" w:hAnsi="仿宋"/>
                <w:sz w:val="24"/>
              </w:rPr>
              <w:t>309.1</w:t>
            </w:r>
          </w:p>
        </w:tc>
      </w:tr>
      <w:tr w14:paraId="0DB94B64">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86" w:type="dxa"/>
            <w:vAlign w:val="top"/>
          </w:tcPr>
          <w:p w14:paraId="701FC6E0">
            <w:pPr>
              <w:spacing w:line="600" w:lineRule="exact"/>
              <w:jc w:val="center"/>
            </w:pPr>
            <w:r>
              <w:rPr>
                <w:rFonts w:ascii="仿宋_GB2312" w:hAnsi="仿宋"/>
                <w:sz w:val="24"/>
              </w:rPr>
              <w:t>3</w:t>
            </w:r>
          </w:p>
        </w:tc>
        <w:tc>
          <w:tcPr>
            <w:tcW w:w="1519" w:type="dxa"/>
            <w:vAlign w:val="top"/>
          </w:tcPr>
          <w:p w14:paraId="7A880028">
            <w:pPr>
              <w:spacing w:line="600" w:lineRule="exact"/>
            </w:pPr>
            <w:r>
              <w:rPr>
                <w:rFonts w:ascii="仿宋_GB2312" w:hAnsi="仿宋"/>
                <w:sz w:val="24"/>
              </w:rPr>
              <w:t>乐观方案</w:t>
            </w:r>
          </w:p>
        </w:tc>
        <w:tc>
          <w:tcPr>
            <w:tcW w:w="1995" w:type="dxa"/>
            <w:vAlign w:val="top"/>
          </w:tcPr>
          <w:p w14:paraId="336F5F96">
            <w:pPr>
              <w:spacing w:line="600" w:lineRule="exact"/>
              <w:jc w:val="center"/>
            </w:pPr>
            <w:r>
              <w:rPr>
                <w:rFonts w:ascii="仿宋_GB2312" w:hAnsi="仿宋"/>
                <w:sz w:val="24"/>
              </w:rPr>
              <w:t>609779.3</w:t>
            </w:r>
          </w:p>
        </w:tc>
        <w:tc>
          <w:tcPr>
            <w:tcW w:w="1362" w:type="dxa"/>
            <w:vAlign w:val="top"/>
          </w:tcPr>
          <w:p w14:paraId="5569BB5A">
            <w:pPr>
              <w:spacing w:line="600" w:lineRule="exact"/>
              <w:jc w:val="center"/>
            </w:pPr>
            <w:r>
              <w:rPr>
                <w:rFonts w:ascii="仿宋_GB2312" w:hAnsi="仿宋"/>
                <w:sz w:val="24"/>
              </w:rPr>
              <w:t>423.8</w:t>
            </w:r>
          </w:p>
        </w:tc>
      </w:tr>
    </w:tbl>
    <w:p w14:paraId="42B347DC">
      <w:pPr>
        <w:ind w:firstLine="420"/>
      </w:pPr>
      <w:r>
        <w:rPr>
          <w:rFonts w:ascii="仿宋_GB2312" w:hAnsi="仿宋"/>
          <w:szCs w:val="21"/>
        </w:rPr>
        <w:tab/>
      </w:r>
      <w:r>
        <w:rPr>
          <w:rFonts w:ascii="仿宋_GB2312" w:hAnsi="仿宋"/>
          <w:szCs w:val="21"/>
        </w:rPr>
        <w:tab/>
      </w:r>
      <w:r>
        <w:rPr>
          <w:rFonts w:ascii="仿宋_GB2312" w:hAnsi="仿宋"/>
          <w:szCs w:val="21"/>
        </w:rPr>
        <w:tab/>
      </w:r>
      <w:r>
        <w:rPr>
          <w:rFonts w:ascii="仿宋_GB2312" w:hAnsi="仿宋"/>
          <w:szCs w:val="21"/>
        </w:rPr>
        <w:t>注：不包括LNG用量93万吨/年；电厂发电用量205.6万吨/年。</w:t>
      </w:r>
    </w:p>
    <w:p w14:paraId="76CCE728">
      <w:pPr>
        <w:spacing w:line="600" w:lineRule="exact"/>
        <w:ind w:firstLine="548"/>
      </w:pPr>
      <w:r>
        <w:rPr>
          <w:rFonts w:ascii="仿宋_GB2312" w:hAnsi="仿宋"/>
          <w:sz w:val="29"/>
        </w:rPr>
        <w:t>经对规划期内福建省经济和社会发展进行综合分析预测，按照“覆盖全省，对接两洲，辐射内陆，清洁安全”天然气管网发展思路，建议方案一作为基本保障方案，到2020年LNG年供应总量必须达到700万吨以上；方案二作为争取实现方案，到2020年LNG年供应总量必须达到850万吨以上；方案三作为积极应对方案，预留LNG年供应总量达到1000万吨以上的能力。</w:t>
      </w:r>
    </w:p>
    <w:p w14:paraId="28697BE5">
      <w:pPr>
        <w:spacing w:line="600" w:lineRule="exact"/>
        <w:ind w:firstLine="548"/>
        <w:rPr>
          <w:rFonts w:ascii="仿宋_GB2312" w:hAnsi="仿宋"/>
          <w:sz w:val="29"/>
        </w:rPr>
      </w:pPr>
    </w:p>
    <w:p w14:paraId="2224479F">
      <w:pPr>
        <w:spacing w:line="600" w:lineRule="exact"/>
        <w:ind w:firstLine="548"/>
        <w:sectPr>
          <w:pgSz w:w="11907" w:h="16840"/>
          <w:pgMar w:top="1588" w:right="1418" w:bottom="1418" w:left="1588" w:header="720" w:footer="720" w:gutter="0"/>
          <w:cols w:space="720" w:num="1"/>
        </w:sectPr>
      </w:pPr>
    </w:p>
    <w:p w14:paraId="3715BA53">
      <w:pPr>
        <w:pStyle w:val="11"/>
        <w:spacing w:before="0" w:after="0" w:line="600" w:lineRule="exact"/>
        <w:jc w:val="center"/>
      </w:pPr>
      <w:r>
        <w:rPr>
          <w:rFonts w:ascii="仿宋_GB2312" w:hAnsi="仿宋"/>
          <w:b/>
          <w:sz w:val="36"/>
          <w:szCs w:val="36"/>
        </w:rPr>
        <w:t>第六章  城镇燃气利用技术路线</w:t>
      </w:r>
    </w:p>
    <w:p w14:paraId="465941A2">
      <w:pPr>
        <w:spacing w:line="600" w:lineRule="exact"/>
        <w:rPr>
          <w:rFonts w:ascii="仿宋_GB2312" w:hAnsi="仿宋"/>
          <w:sz w:val="29"/>
        </w:rPr>
      </w:pPr>
    </w:p>
    <w:p w14:paraId="03AAE69C">
      <w:r>
        <w:rPr>
          <w:rFonts w:ascii="仿宋_GB2312" w:hAnsi="仿宋"/>
          <w:sz w:val="29"/>
        </w:rPr>
        <w:t>（一）规划指导思想</w:t>
      </w:r>
    </w:p>
    <w:p w14:paraId="10EE1CFB">
      <w:pPr>
        <w:ind w:firstLine="548"/>
      </w:pPr>
      <w:r>
        <w:rPr>
          <w:rFonts w:ascii="仿宋_GB2312" w:hAnsi="仿宋"/>
          <w:sz w:val="29"/>
        </w:rPr>
        <w:t>1、以地区规划为指导，着眼于海西区域发展，保证省内供气安全，消除供气“孤岛”，统筹安排气源调度。</w:t>
      </w:r>
    </w:p>
    <w:p w14:paraId="3832197E">
      <w:pPr>
        <w:ind w:firstLine="548"/>
      </w:pPr>
      <w:r>
        <w:rPr>
          <w:rFonts w:ascii="仿宋_GB2312" w:hAnsi="仿宋"/>
          <w:sz w:val="29"/>
        </w:rPr>
        <w:t>2、以市场开发为导向，利用“管网资源”带动市场，分期实施，滚动发展。</w:t>
      </w:r>
    </w:p>
    <w:p w14:paraId="405AD644">
      <w:pPr>
        <w:ind w:firstLine="548"/>
      </w:pPr>
      <w:r>
        <w:rPr>
          <w:rFonts w:ascii="仿宋_GB2312" w:hAnsi="仿宋"/>
          <w:sz w:val="29"/>
        </w:rPr>
        <w:t>3、统筹兼顾，全省统一布网；因地制宜，供气干、支线与LNG气化站相结合。</w:t>
      </w:r>
    </w:p>
    <w:p w14:paraId="13AA74AF">
      <w:pPr>
        <w:ind w:firstLine="548"/>
      </w:pPr>
      <w:r>
        <w:rPr>
          <w:rFonts w:ascii="仿宋_GB2312" w:hAnsi="仿宋"/>
          <w:sz w:val="29"/>
        </w:rPr>
        <w:t>4、以现状管网设计压力为基础，简化规划管网的压力级制。</w:t>
      </w:r>
    </w:p>
    <w:p w14:paraId="1E8F1F82">
      <w:pPr>
        <w:ind w:firstLine="548"/>
      </w:pPr>
      <w:r>
        <w:rPr>
          <w:rFonts w:ascii="仿宋_GB2312" w:hAnsi="仿宋"/>
          <w:sz w:val="29"/>
        </w:rPr>
        <w:t>5、在规划管网的建设方案时，充分考虑可实施性和工程经济性。</w:t>
      </w:r>
    </w:p>
    <w:p w14:paraId="723B1035">
      <w:pPr>
        <w:spacing w:line="600" w:lineRule="exact"/>
        <w:ind w:firstLine="600"/>
        <w:rPr>
          <w:rFonts w:ascii="仿宋_GB2312" w:hAnsi="仿宋"/>
          <w:sz w:val="29"/>
        </w:rPr>
      </w:pPr>
    </w:p>
    <w:p w14:paraId="4C9931BA">
      <w:r>
        <w:rPr>
          <w:rFonts w:ascii="仿宋_GB2312" w:hAnsi="仿宋"/>
          <w:sz w:val="29"/>
        </w:rPr>
        <w:t>（二）输配系统</w:t>
      </w:r>
    </w:p>
    <w:p w14:paraId="29F7D876">
      <w:r>
        <w:rPr>
          <w:rFonts w:ascii="仿宋_GB2312" w:hAnsi="仿宋"/>
          <w:sz w:val="29"/>
        </w:rPr>
        <w:t>1、压力级制</w:t>
      </w:r>
    </w:p>
    <w:p w14:paraId="77C38D86">
      <w:pPr>
        <w:ind w:firstLine="548"/>
      </w:pPr>
      <w:r>
        <w:rPr>
          <w:rFonts w:ascii="仿宋_GB2312" w:hAnsi="仿宋"/>
          <w:sz w:val="29"/>
        </w:rPr>
        <w:t>输气系统的压力级制与供气规模和用户用气压力密切相关，采用适当的配气管网压力级制，能提高供气安全性，降低出现事故时所造成的危害，可以节约管材和配套设备投入，并且在今后的运行过程中易于维护、操作和管理。</w:t>
      </w:r>
    </w:p>
    <w:p w14:paraId="420FAD6B">
      <w:pPr>
        <w:ind w:firstLine="548"/>
      </w:pPr>
      <w:r>
        <w:rPr>
          <w:rFonts w:ascii="仿宋_GB2312" w:hAnsi="仿宋"/>
          <w:sz w:val="29"/>
        </w:rPr>
        <w:t>福建省的规划天然气用户，除了电厂用户对供气压力要求较高外，其他用户均为城镇一般用户，对供气压力没有特殊要求，根据对各城镇用气市场预测，采用《城镇燃气设计规范》（GB50028-2006）中规定的高压或次高压级制，即可满足城镇用户的用气需求。福建省内现状天然气输气系统的设计压力为7.5MPa，从结合现状考虑，规划天然气管网的设计压力均采用7.5MPa。</w:t>
      </w:r>
    </w:p>
    <w:p w14:paraId="3AD35A95">
      <w:pPr>
        <w:ind w:firstLine="548"/>
      </w:pPr>
      <w:r>
        <w:rPr>
          <w:rFonts w:ascii="仿宋_GB2312" w:hAnsi="仿宋"/>
          <w:sz w:val="29"/>
        </w:rPr>
        <w:t>2、供气流程</w:t>
      </w:r>
    </w:p>
    <w:p w14:paraId="6A4264D5">
      <w:pPr>
        <w:ind w:firstLine="548"/>
      </w:pPr>
      <w:r>
        <w:rPr>
          <w:rFonts w:ascii="仿宋_GB2312" w:hAnsi="仿宋"/>
          <w:sz w:val="29"/>
        </w:rPr>
        <w:t>从秀屿首站引出天然气经长输管线送至各城市分输站和电厂专用接收站，再经城市配气系统和电厂供气管网供应给终端用户。</w:t>
      </w:r>
    </w:p>
    <w:p w14:paraId="06F38DCD">
      <w:pPr>
        <w:ind w:firstLine="548"/>
      </w:pPr>
      <w:r>
        <w:rPr>
          <w:rFonts w:ascii="仿宋_GB2312" w:hAnsi="仿宋"/>
          <w:sz w:val="29"/>
        </w:rPr>
        <w:t>3、管网布置</w:t>
      </w:r>
    </w:p>
    <w:p w14:paraId="4618BF10">
      <w:pPr>
        <w:ind w:firstLine="548"/>
      </w:pPr>
      <w:r>
        <w:rPr>
          <w:rFonts w:ascii="仿宋_GB2312" w:hAnsi="仿宋"/>
          <w:sz w:val="29"/>
        </w:rPr>
        <w:t>远期实现福建天然气管网与浙江管网、广东管网三网相连，并从赣州、南昌两个连接点对接西气东输二线。海西天然气管网覆盖福建9设区市，浙江温州、丽水、衢州，广东梅州、潮州、汕头、揭阳，江西赣州，共17个设区市；规划中预留接口适时对接江西上饶、鹰潭、抚州3个设区市。</w:t>
      </w:r>
    </w:p>
    <w:p w14:paraId="07FA5DA1">
      <w:pPr>
        <w:spacing w:line="600" w:lineRule="exact"/>
        <w:ind w:firstLine="548"/>
      </w:pPr>
      <w:r>
        <w:rPr>
          <w:rFonts w:ascii="仿宋_GB2312" w:hAnsi="仿宋"/>
          <w:sz w:val="29"/>
        </w:rPr>
        <w:t>（1）供气干线布局</w:t>
      </w:r>
    </w:p>
    <w:p w14:paraId="753E0F07">
      <w:pPr>
        <w:ind w:firstLine="548"/>
      </w:pPr>
      <w:r>
        <w:rPr>
          <w:rFonts w:ascii="仿宋_GB2312" w:hAnsi="仿宋"/>
          <w:sz w:val="29"/>
        </w:rPr>
        <w:t>对现有管网进行局部改造；新建福州至福鼎、漳州至龙岩、福州至南平、漳州至诏安和龙岩经漳平、永安、三明、沙县至南平的管网，与现有福州-漳州供气管网形成“两纵两横”的供气干线架构。修建复线的管段为：秀屿-福州、惠安-泉州、翔安-漳州复线；主干线已建300公里，规划新建1349公里。供气干线布置见图5-1。</w:t>
      </w:r>
    </w:p>
    <w:p w14:paraId="70FFB38C">
      <w:pPr>
        <w:ind w:firstLine="466"/>
      </w:pPr>
      <w:r>
        <w:rPr>
          <w:rFonts w:ascii="仿宋_GB2312" w:hAnsi="仿宋"/>
          <w:sz w:val="29"/>
        </w:rPr>
        <w:t>（2）供气支线布局</w:t>
      </w:r>
    </w:p>
    <w:p w14:paraId="10F905E2">
      <w:pPr>
        <w:ind w:firstLine="466"/>
      </w:pPr>
      <w:r>
        <w:rPr>
          <w:rFonts w:ascii="仿宋_GB2312" w:hAnsi="仿宋"/>
          <w:sz w:val="29"/>
        </w:rPr>
        <w:t>以省内“两纵两横”供气环网为供气平台，根据对规划期内市场成长规律的预测，布置相应供气支线。主要有平潭综合实验区、泉港、德化、长汀、邵武、霞浦和武夷山支线及延伸至各县（市）的支线，逐步覆盖全省，普及各县。并覆盖平潭综合实验区、环三都澳区域、环罗源湾区域、江阴半岛区域、莆田石门澳区域、湄洲湾区域、莆田东吴工业区、厦门湾区域、漳州古雷新兴石化基地、龙岩产业集中区域、三明产业集中区域和闽北新兴发展区域等十一个产业集聚区。供气支线布置见图5-2。</w:t>
      </w:r>
    </w:p>
    <w:p w14:paraId="5062A8C3">
      <w:r>
        <w:rPr>
          <w:rFonts w:ascii="仿宋_GB2312" w:hAnsi="仿宋"/>
          <w:sz w:val="29"/>
        </w:rPr>
        <w:t>（三）LNG接收站</w:t>
      </w:r>
    </w:p>
    <w:p w14:paraId="348E1B9E">
      <w:pPr>
        <w:ind w:firstLine="548"/>
      </w:pPr>
      <w:r>
        <w:rPr>
          <w:rFonts w:ascii="仿宋_GB2312" w:hAnsi="仿宋"/>
          <w:sz w:val="29"/>
        </w:rPr>
        <w:t>规划建设宁德LNG接收站（规模为260万吨/年）项目，为三都澳区域和浙江温州地区提供清洁能源。</w:t>
      </w:r>
    </w:p>
    <w:p w14:paraId="6C9BFE3E">
      <w:r>
        <w:rPr>
          <w:rFonts w:ascii="仿宋_GB2312" w:hAnsi="仿宋"/>
          <w:sz w:val="29"/>
        </w:rPr>
        <w:t>（四）LNG气化站</w:t>
      </w:r>
    </w:p>
    <w:p w14:paraId="03E47B93">
      <w:pPr>
        <w:spacing w:before="0" w:after="0"/>
        <w:ind w:firstLine="548"/>
        <w:jc w:val="left"/>
      </w:pPr>
      <w:r>
        <w:rPr>
          <w:rFonts w:ascii="仿宋_GB2312" w:hAnsi="仿宋"/>
          <w:sz w:val="29"/>
        </w:rPr>
        <w:t>在供气管线未覆盖的部分县（市）、乡镇，尽可能提前建设LNG气化站，条件成熟时延伸管网覆盖，即中远期再以支线供气替代卫星站供气，滚动建设。LNG气化站布局见图5-3。</w:t>
      </w:r>
    </w:p>
    <w:p w14:paraId="067311A0">
      <w:r>
        <w:rPr>
          <w:rFonts w:ascii="仿宋_GB2312" w:hAnsi="仿宋"/>
          <w:sz w:val="29"/>
        </w:rPr>
        <w:t>（五）LNG汽车加气站</w:t>
      </w:r>
    </w:p>
    <w:p w14:paraId="75C4C0F8">
      <w:pPr>
        <w:spacing w:line="440" w:lineRule="exact"/>
        <w:ind w:firstLine="548"/>
        <w:jc w:val="left"/>
      </w:pPr>
      <w:r>
        <w:rPr>
          <w:rFonts w:ascii="仿宋_GB2312" w:hAnsi="仿宋"/>
          <w:sz w:val="29"/>
        </w:rPr>
        <w:t>通过LNG 槽车分送各LNG 加气站,液化天然气经烃泵加压后充装汽车。流程框图如下所示：</w:t>
      </w:r>
    </w:p>
    <w:p w14:paraId="27119446">
      <w:pPr>
        <w:spacing w:line="440" w:lineRule="exact"/>
        <w:ind w:firstLine="548"/>
        <w:jc w:val="left"/>
        <w:rPr>
          <w:rFonts w:ascii="仿宋_GB2312" w:hAnsi="仿宋"/>
          <w:sz w:val="29"/>
        </w:rPr>
      </w:pPr>
    </w:p>
    <w:p w14:paraId="44655874">
      <w:pPr>
        <w:spacing w:line="440" w:lineRule="exact"/>
        <w:jc w:val="left"/>
        <w:rPr>
          <w:rFonts w:ascii="仿宋_GB2312" w:hAnsi="仿宋"/>
          <w:sz w:val="26"/>
          <w:szCs w:val="26"/>
        </w:rPr>
      </w:pPr>
    </w:p>
    <w:p w14:paraId="307C3466">
      <w:pPr>
        <w:spacing w:line="440" w:lineRule="exact"/>
        <w:jc w:val="left"/>
      </w:pPr>
      <w:r>
        <w:rPr>
          <w:rFonts w:ascii="仿宋_GB2312" w:hAnsi="仿宋"/>
          <w:sz w:val="26"/>
          <w:szCs w:val="26"/>
        </w:rPr>
        <w:t xml:space="preserve">                                                   </w:t>
      </w:r>
      <w:r>
        <w:rPr>
          <w:rFonts w:ascii="仿宋_GB2312" w:hAnsi="仿宋"/>
          <w:sz w:val="24"/>
        </w:rPr>
        <w:t>LNG 汽车</w:t>
      </w:r>
    </w:p>
    <w:p w14:paraId="5FA000D3">
      <w:pPr>
        <w:spacing w:line="440" w:lineRule="exact"/>
        <w:jc w:val="left"/>
      </w:pPr>
      <w:r>
        <w:rPr>
          <w:rFonts w:ascii="仿宋_GB2312" w:hAnsi="仿宋"/>
          <w:sz w:val="26"/>
          <w:szCs w:val="26"/>
        </w:rPr>
        <w:t xml:space="preserve">                 </w:t>
      </w:r>
    </w:p>
    <w:p w14:paraId="02C8C131">
      <w:pPr>
        <w:spacing w:line="440" w:lineRule="exact"/>
        <w:ind w:firstLine="3840"/>
        <w:jc w:val="left"/>
        <w:rPr>
          <w:rFonts w:ascii="仿宋_GB2312" w:hAnsi="仿宋"/>
          <w:sz w:val="26"/>
          <w:szCs w:val="26"/>
        </w:rPr>
      </w:pPr>
      <w:r>
        <w:rPr>
          <w:rFonts w:ascii="仿宋_GB2312" w:hAnsi="仿宋"/>
          <w:sz w:val="24"/>
        </w:rPr>
        <w:t>（需要分供时）</w:t>
      </w:r>
    </w:p>
    <w:p w14:paraId="6580F38C">
      <w:pPr>
        <w:spacing w:line="440" w:lineRule="exact"/>
        <w:jc w:val="left"/>
      </w:pPr>
      <w:r>
        <w:rPr>
          <w:rFonts w:ascii="仿宋_GB2312" w:hAnsi="仿宋"/>
          <w:sz w:val="26"/>
          <w:szCs w:val="26"/>
        </w:rPr>
        <w:t xml:space="preserve">               </w:t>
      </w:r>
    </w:p>
    <w:p w14:paraId="5BE12E06">
      <w:pPr>
        <w:spacing w:line="440" w:lineRule="exact"/>
        <w:jc w:val="left"/>
        <w:rPr>
          <w:rFonts w:ascii="仿宋_GB2312" w:hAnsi="仿宋"/>
          <w:sz w:val="26"/>
          <w:szCs w:val="26"/>
        </w:rPr>
      </w:pPr>
    </w:p>
    <w:p w14:paraId="3C557B7A">
      <w:pPr>
        <w:spacing w:line="440" w:lineRule="exact"/>
        <w:jc w:val="left"/>
      </w:pPr>
      <w:r>
        <w:rPr>
          <w:rFonts w:ascii="仿宋_GB2312" w:hAnsi="仿宋"/>
          <w:sz w:val="26"/>
          <w:szCs w:val="26"/>
        </w:rPr>
        <w:t xml:space="preserve">                                                 </w:t>
      </w:r>
      <w:r>
        <w:rPr>
          <w:rFonts w:ascii="仿宋_GB2312" w:hAnsi="仿宋"/>
          <w:sz w:val="24"/>
        </w:rPr>
        <w:t>供LNG 加气站</w:t>
      </w:r>
    </w:p>
    <w:p w14:paraId="2376AF74">
      <w:pPr>
        <w:spacing w:line="440" w:lineRule="exact"/>
        <w:jc w:val="left"/>
        <w:rPr>
          <w:rFonts w:ascii="仿宋_GB2312" w:hAnsi="仿宋"/>
          <w:sz w:val="26"/>
          <w:szCs w:val="26"/>
        </w:rPr>
      </w:pPr>
    </w:p>
    <w:p w14:paraId="2DCB501D">
      <w:pPr>
        <w:spacing w:line="440" w:lineRule="exact"/>
        <w:jc w:val="left"/>
        <w:rPr>
          <w:rFonts w:ascii="仿宋_GB2312" w:hAnsi="仿宋"/>
          <w:sz w:val="26"/>
          <w:szCs w:val="26"/>
        </w:rPr>
      </w:pPr>
    </w:p>
    <w:p w14:paraId="2206820B">
      <w:pPr>
        <w:spacing w:line="440" w:lineRule="exact"/>
        <w:jc w:val="left"/>
        <w:rPr>
          <w:rFonts w:ascii="仿宋_GB2312" w:hAnsi="仿宋"/>
          <w:sz w:val="26"/>
          <w:szCs w:val="26"/>
        </w:rPr>
      </w:pPr>
    </w:p>
    <w:p w14:paraId="0E1360C4">
      <w:pPr>
        <w:spacing w:line="440" w:lineRule="exact"/>
        <w:jc w:val="left"/>
        <w:rPr>
          <w:rFonts w:ascii="仿宋_GB2312" w:hAnsi="仿宋"/>
          <w:sz w:val="26"/>
          <w:szCs w:val="26"/>
        </w:rPr>
      </w:pPr>
    </w:p>
    <w:p w14:paraId="09115147">
      <w:pPr>
        <w:spacing w:line="600" w:lineRule="exact"/>
        <w:ind w:firstLine="600"/>
        <w:rPr>
          <w:rFonts w:ascii="仿宋_GB2312" w:hAnsi="仿宋"/>
          <w:sz w:val="29"/>
        </w:rPr>
      </w:pPr>
    </w:p>
    <w:p w14:paraId="3AF9F725">
      <w:pPr>
        <w:spacing w:line="600" w:lineRule="exact"/>
        <w:ind w:firstLine="600"/>
        <w:rPr>
          <w:rFonts w:ascii="仿宋_GB2312" w:hAnsi="仿宋"/>
          <w:sz w:val="29"/>
        </w:rPr>
      </w:pPr>
      <w:r>
        <w:drawing>
          <wp:anchor distT="0" distB="0" distL="114300" distR="114300" simplePos="0" relativeHeight="251659264" behindDoc="0" locked="0" layoutInCell="1" allowOverlap="1">
            <wp:simplePos x="0" y="0"/>
            <wp:positionH relativeFrom="column">
              <wp:posOffset>-333375</wp:posOffset>
            </wp:positionH>
            <wp:positionV relativeFrom="paragraph">
              <wp:posOffset>-990600</wp:posOffset>
            </wp:positionV>
            <wp:extent cx="6438900" cy="85191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a:stretch>
                      <a:fillRect/>
                    </a:stretch>
                  </pic:blipFill>
                  <pic:spPr>
                    <a:xfrm>
                      <a:off x="0" y="0"/>
                      <a:ext cx="6438900" cy="8519160"/>
                    </a:xfrm>
                    <a:prstGeom prst="rect">
                      <a:avLst/>
                    </a:prstGeom>
                    <a:noFill/>
                  </pic:spPr>
                </pic:pic>
              </a:graphicData>
            </a:graphic>
          </wp:anchor>
        </w:drawing>
      </w:r>
    </w:p>
    <w:p w14:paraId="045594BA">
      <w:pPr>
        <w:spacing w:line="600" w:lineRule="exact"/>
        <w:ind w:firstLine="600"/>
        <w:rPr>
          <w:rFonts w:ascii="仿宋_GB2312" w:hAnsi="仿宋"/>
          <w:sz w:val="29"/>
        </w:rPr>
      </w:pPr>
      <w:r>
        <w:drawing>
          <wp:anchor distT="0" distB="0" distL="114300" distR="114300" simplePos="0" relativeHeight="251659264" behindDoc="0" locked="0" layoutInCell="1" allowOverlap="1">
            <wp:simplePos x="0" y="0"/>
            <wp:positionH relativeFrom="column">
              <wp:posOffset>-266700</wp:posOffset>
            </wp:positionH>
            <wp:positionV relativeFrom="paragraph">
              <wp:posOffset>297180</wp:posOffset>
            </wp:positionV>
            <wp:extent cx="6467475" cy="81343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4"/>
                    <a:stretch>
                      <a:fillRect/>
                    </a:stretch>
                  </pic:blipFill>
                  <pic:spPr>
                    <a:xfrm>
                      <a:off x="0" y="0"/>
                      <a:ext cx="6467475" cy="8134350"/>
                    </a:xfrm>
                    <a:prstGeom prst="rect">
                      <a:avLst/>
                    </a:prstGeom>
                    <a:noFill/>
                  </pic:spPr>
                </pic:pic>
              </a:graphicData>
            </a:graphic>
          </wp:anchor>
        </w:drawing>
      </w:r>
    </w:p>
    <w:p w14:paraId="5A80C904">
      <w:pPr>
        <w:spacing w:line="600" w:lineRule="exact"/>
        <w:ind w:firstLine="600"/>
        <w:rPr>
          <w:rFonts w:ascii="仿宋_GB2312" w:hAnsi="仿宋"/>
          <w:sz w:val="29"/>
        </w:rPr>
      </w:pPr>
      <w:r>
        <w:drawing>
          <wp:anchor distT="0" distB="0" distL="114300" distR="114300" simplePos="0" relativeHeight="251659264" behindDoc="0" locked="0" layoutInCell="1" allowOverlap="1">
            <wp:simplePos x="0" y="0"/>
            <wp:positionH relativeFrom="column">
              <wp:posOffset>-200025</wp:posOffset>
            </wp:positionH>
            <wp:positionV relativeFrom="paragraph">
              <wp:posOffset>99060</wp:posOffset>
            </wp:positionV>
            <wp:extent cx="6315075" cy="802386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5"/>
                    <a:stretch>
                      <a:fillRect/>
                    </a:stretch>
                  </pic:blipFill>
                  <pic:spPr>
                    <a:xfrm>
                      <a:off x="0" y="0"/>
                      <a:ext cx="6315075" cy="8023860"/>
                    </a:xfrm>
                    <a:prstGeom prst="rect">
                      <a:avLst/>
                    </a:prstGeom>
                    <a:noFill/>
                  </pic:spPr>
                </pic:pic>
              </a:graphicData>
            </a:graphic>
          </wp:anchor>
        </w:drawing>
      </w:r>
    </w:p>
    <w:p w14:paraId="022FC80B">
      <w:pPr>
        <w:spacing w:line="600" w:lineRule="exact"/>
        <w:ind w:firstLine="600"/>
        <w:sectPr>
          <w:pgSz w:w="11907" w:h="16840"/>
          <w:pgMar w:top="1588" w:right="1418" w:bottom="1418" w:left="1588" w:header="720" w:footer="720" w:gutter="0"/>
          <w:cols w:space="720" w:num="1"/>
        </w:sectPr>
      </w:pPr>
    </w:p>
    <w:p w14:paraId="7D8812AE">
      <w:pPr>
        <w:pStyle w:val="11"/>
        <w:spacing w:before="0" w:after="0" w:line="600" w:lineRule="exact"/>
        <w:jc w:val="center"/>
      </w:pPr>
      <w:r>
        <w:rPr>
          <w:rFonts w:ascii="仿宋_GB2312" w:hAnsi="仿宋"/>
          <w:b/>
          <w:sz w:val="36"/>
          <w:szCs w:val="36"/>
        </w:rPr>
        <w:t>第七章  基础设施建设内容</w:t>
      </w:r>
    </w:p>
    <w:p w14:paraId="009B0566">
      <w:pPr>
        <w:spacing w:before="0" w:after="0"/>
        <w:ind w:firstLine="548"/>
        <w:jc w:val="left"/>
      </w:pPr>
      <w:r>
        <w:rPr>
          <w:rFonts w:ascii="仿宋_GB2312" w:hAnsi="仿宋"/>
          <w:sz w:val="29"/>
        </w:rPr>
        <w:t>福建省城镇燃气“十二五”规划基础设施建设内容包括：LNG气化站、LNG汽车加气站。</w:t>
      </w:r>
    </w:p>
    <w:p w14:paraId="6884A64C">
      <w:r>
        <w:rPr>
          <w:rFonts w:ascii="仿宋_GB2312" w:hAnsi="仿宋"/>
          <w:sz w:val="29"/>
        </w:rPr>
        <w:t>（一）LNG气化站</w:t>
      </w:r>
    </w:p>
    <w:p w14:paraId="54E34CB0">
      <w:pPr>
        <w:spacing w:before="0" w:after="0"/>
        <w:ind w:firstLine="548"/>
        <w:jc w:val="left"/>
      </w:pPr>
      <w:r>
        <w:rPr>
          <w:rFonts w:ascii="仿宋_GB2312" w:hAnsi="仿宋"/>
          <w:sz w:val="29"/>
        </w:rPr>
        <w:t>规划在尚不具备条件敷设管道的县市采用修建LNG气化站方式供气。2011-2012年规划新建LNG气化站28座。2013-2015年规划新建LNG气化站17座，扩建LNG气化站30座。</w:t>
      </w:r>
    </w:p>
    <w:p w14:paraId="5E07ABB6">
      <w:r>
        <w:rPr>
          <w:rFonts w:ascii="仿宋_GB2312" w:hAnsi="仿宋"/>
          <w:sz w:val="29"/>
        </w:rPr>
        <w:t>（二）LNG汽车加气站</w:t>
      </w:r>
    </w:p>
    <w:p w14:paraId="0ACD6C4B">
      <w:pPr>
        <w:spacing w:before="0" w:after="0"/>
        <w:ind w:firstLine="548"/>
        <w:jc w:val="left"/>
      </w:pPr>
      <w:r>
        <w:rPr>
          <w:rFonts w:ascii="仿宋_GB2312" w:hAnsi="仿宋"/>
          <w:sz w:val="29"/>
        </w:rPr>
        <w:t>2011-2015年福建省九个地市及所辖市县共建设LNG汽车加气站203座，具体座数见表-7-1。</w:t>
      </w:r>
    </w:p>
    <w:p w14:paraId="5C7022E9">
      <w:pPr>
        <w:spacing w:before="0" w:after="0"/>
        <w:ind w:firstLine="548"/>
        <w:jc w:val="left"/>
        <w:rPr>
          <w:rFonts w:ascii="仿宋_GB2312" w:hAnsi="仿宋"/>
          <w:sz w:val="29"/>
        </w:rPr>
      </w:pPr>
    </w:p>
    <w:p w14:paraId="64278083">
      <w:pPr>
        <w:ind w:firstLine="357"/>
        <w:rPr>
          <w:rFonts w:ascii="仿宋_GB2312" w:hAnsi="仿宋"/>
        </w:rPr>
      </w:pPr>
      <w:r>
        <w:rPr>
          <w:rFonts w:ascii="仿宋_GB2312" w:hAnsi="仿宋"/>
          <w:szCs w:val="21"/>
        </w:rPr>
        <w:t xml:space="preserve">         </w:t>
      </w:r>
      <w:r>
        <w:rPr>
          <w:rFonts w:ascii="仿宋_GB2312" w:hAnsi="仿宋"/>
          <w:sz w:val="24"/>
        </w:rPr>
        <w:t xml:space="preserve">（2011-2015年）规划LNG汽车加气站工程量表 </w:t>
      </w:r>
      <w:r>
        <w:rPr>
          <w:rFonts w:ascii="仿宋_GB2312" w:hAnsi="仿宋"/>
        </w:rPr>
        <w:t xml:space="preserve">              表7</w:t>
      </w:r>
      <w:r>
        <w:rPr>
          <w:rFonts w:ascii="仿宋_GB2312" w:hAnsi="仿宋"/>
          <w:szCs w:val="21"/>
        </w:rPr>
        <w:t>-1</w:t>
      </w:r>
    </w:p>
    <w:tbl>
      <w:tblPr>
        <w:tblStyle w:val="14"/>
        <w:tblW w:w="0" w:type="auto"/>
        <w:jc w:val="center"/>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851"/>
        <w:gridCol w:w="2303"/>
        <w:gridCol w:w="2729"/>
        <w:gridCol w:w="3233"/>
      </w:tblGrid>
      <w:tr w14:paraId="1A63651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shd w:val="clear" w:color="auto" w:fill="E0E0E0"/>
            <w:vAlign w:val="center"/>
          </w:tcPr>
          <w:p w14:paraId="2F50793B">
            <w:pPr>
              <w:ind w:left="185"/>
            </w:pPr>
            <w:r>
              <w:rPr>
                <w:rFonts w:ascii="仿宋_GB2312" w:hAnsi="仿宋"/>
                <w:sz w:val="24"/>
              </w:rPr>
              <w:t>序号</w:t>
            </w:r>
          </w:p>
        </w:tc>
        <w:tc>
          <w:tcPr>
            <w:tcW w:w="2303" w:type="dxa"/>
            <w:shd w:val="clear" w:color="auto" w:fill="E0E0E0"/>
            <w:vAlign w:val="center"/>
          </w:tcPr>
          <w:p w14:paraId="1E01533A">
            <w:pPr>
              <w:ind w:left="-69" w:firstLine="50"/>
              <w:jc w:val="center"/>
            </w:pPr>
            <w:r>
              <w:rPr>
                <w:rFonts w:ascii="仿宋_GB2312" w:hAnsi="仿宋"/>
                <w:sz w:val="24"/>
              </w:rPr>
              <w:t>地区名称</w:t>
            </w:r>
          </w:p>
        </w:tc>
        <w:tc>
          <w:tcPr>
            <w:tcW w:w="2729" w:type="dxa"/>
            <w:shd w:val="clear" w:color="auto" w:fill="E0E0E0"/>
            <w:vAlign w:val="center"/>
          </w:tcPr>
          <w:p w14:paraId="24B42C8C">
            <w:pPr>
              <w:ind w:firstLine="185"/>
              <w:jc w:val="center"/>
            </w:pPr>
            <w:r>
              <w:rPr>
                <w:rFonts w:ascii="仿宋_GB2312" w:hAnsi="仿宋"/>
                <w:sz w:val="24"/>
              </w:rPr>
              <w:t>51m</w:t>
            </w:r>
            <w:r>
              <w:rPr>
                <w:rFonts w:ascii="仿宋_GB2312" w:hAnsi="仿宋"/>
                <w:sz w:val="24"/>
                <w:vertAlign w:val="superscript"/>
              </w:rPr>
              <w:t>3</w:t>
            </w:r>
            <w:r>
              <w:rPr>
                <w:rFonts w:ascii="仿宋_GB2312" w:hAnsi="仿宋"/>
                <w:sz w:val="24"/>
              </w:rPr>
              <w:t>LNG槽车数量</w:t>
            </w:r>
          </w:p>
        </w:tc>
        <w:tc>
          <w:tcPr>
            <w:tcW w:w="3233" w:type="dxa"/>
            <w:shd w:val="clear" w:color="auto" w:fill="E0E0E0"/>
            <w:vAlign w:val="center"/>
          </w:tcPr>
          <w:p w14:paraId="546435C6">
            <w:r>
              <w:rPr>
                <w:rFonts w:ascii="仿宋_GB2312" w:hAnsi="仿宋"/>
                <w:sz w:val="24"/>
              </w:rPr>
              <w:t>LNG汽车加气站数量（座）</w:t>
            </w:r>
          </w:p>
        </w:tc>
      </w:tr>
      <w:tr w14:paraId="2D88F20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6F811039">
            <w:pPr>
              <w:ind w:firstLine="185"/>
            </w:pPr>
            <w:r>
              <w:rPr>
                <w:rFonts w:ascii="仿宋_GB2312" w:hAnsi="仿宋"/>
                <w:sz w:val="24"/>
              </w:rPr>
              <w:t>1</w:t>
            </w:r>
          </w:p>
        </w:tc>
        <w:tc>
          <w:tcPr>
            <w:tcW w:w="2303" w:type="dxa"/>
            <w:vAlign w:val="top"/>
          </w:tcPr>
          <w:p w14:paraId="10763B5D">
            <w:pPr>
              <w:ind w:left="-69" w:firstLine="50"/>
            </w:pPr>
            <w:r>
              <w:rPr>
                <w:rFonts w:ascii="仿宋_GB2312" w:hAnsi="仿宋"/>
                <w:sz w:val="24"/>
              </w:rPr>
              <w:t>福州市及辖市、县</w:t>
            </w:r>
          </w:p>
        </w:tc>
        <w:tc>
          <w:tcPr>
            <w:tcW w:w="2729" w:type="dxa"/>
            <w:vAlign w:val="top"/>
          </w:tcPr>
          <w:p w14:paraId="450694AE">
            <w:pPr>
              <w:ind w:firstLine="185"/>
              <w:jc w:val="center"/>
            </w:pPr>
            <w:r>
              <w:rPr>
                <w:rFonts w:ascii="仿宋_GB2312" w:hAnsi="仿宋"/>
                <w:sz w:val="24"/>
              </w:rPr>
              <w:t>13</w:t>
            </w:r>
          </w:p>
        </w:tc>
        <w:tc>
          <w:tcPr>
            <w:tcW w:w="3233" w:type="dxa"/>
            <w:vAlign w:val="top"/>
          </w:tcPr>
          <w:p w14:paraId="6D5C76BC">
            <w:pPr>
              <w:ind w:firstLine="185"/>
              <w:jc w:val="center"/>
            </w:pPr>
            <w:r>
              <w:rPr>
                <w:rFonts w:ascii="仿宋_GB2312" w:hAnsi="仿宋"/>
                <w:sz w:val="24"/>
              </w:rPr>
              <w:t>51</w:t>
            </w:r>
          </w:p>
        </w:tc>
      </w:tr>
      <w:tr w14:paraId="47CAC96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04228E21">
            <w:pPr>
              <w:ind w:firstLine="185"/>
            </w:pPr>
            <w:r>
              <w:rPr>
                <w:rFonts w:ascii="仿宋_GB2312" w:hAnsi="仿宋"/>
                <w:sz w:val="24"/>
              </w:rPr>
              <w:t>2</w:t>
            </w:r>
          </w:p>
        </w:tc>
        <w:tc>
          <w:tcPr>
            <w:tcW w:w="2303" w:type="dxa"/>
            <w:vAlign w:val="top"/>
          </w:tcPr>
          <w:p w14:paraId="377E13CE">
            <w:r>
              <w:rPr>
                <w:rFonts w:ascii="仿宋_GB2312" w:hAnsi="仿宋"/>
                <w:sz w:val="24"/>
              </w:rPr>
              <w:t>厦门市</w:t>
            </w:r>
          </w:p>
        </w:tc>
        <w:tc>
          <w:tcPr>
            <w:tcW w:w="2729" w:type="dxa"/>
            <w:vAlign w:val="top"/>
          </w:tcPr>
          <w:p w14:paraId="021DCA8A">
            <w:pPr>
              <w:ind w:firstLine="185"/>
              <w:jc w:val="center"/>
            </w:pPr>
            <w:r>
              <w:rPr>
                <w:rFonts w:ascii="仿宋_GB2312" w:hAnsi="仿宋"/>
                <w:sz w:val="24"/>
              </w:rPr>
              <w:t>25</w:t>
            </w:r>
          </w:p>
        </w:tc>
        <w:tc>
          <w:tcPr>
            <w:tcW w:w="3233" w:type="dxa"/>
            <w:vAlign w:val="center"/>
          </w:tcPr>
          <w:p w14:paraId="180C7CCF">
            <w:pPr>
              <w:ind w:firstLine="185"/>
              <w:jc w:val="center"/>
            </w:pPr>
            <w:r>
              <w:rPr>
                <w:rFonts w:ascii="仿宋_GB2312" w:hAnsi="仿宋"/>
                <w:sz w:val="24"/>
              </w:rPr>
              <w:t>39</w:t>
            </w:r>
          </w:p>
        </w:tc>
      </w:tr>
      <w:tr w14:paraId="46CF577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11378F7E">
            <w:pPr>
              <w:ind w:firstLine="185"/>
            </w:pPr>
            <w:r>
              <w:rPr>
                <w:rFonts w:ascii="仿宋_GB2312" w:hAnsi="仿宋"/>
                <w:sz w:val="24"/>
              </w:rPr>
              <w:t>3</w:t>
            </w:r>
          </w:p>
        </w:tc>
        <w:tc>
          <w:tcPr>
            <w:tcW w:w="2303" w:type="dxa"/>
            <w:vAlign w:val="top"/>
          </w:tcPr>
          <w:p w14:paraId="42CA7F72">
            <w:r>
              <w:rPr>
                <w:rFonts w:ascii="仿宋_GB2312" w:hAnsi="仿宋"/>
                <w:sz w:val="24"/>
              </w:rPr>
              <w:t>莆田市及辖市、县</w:t>
            </w:r>
          </w:p>
        </w:tc>
        <w:tc>
          <w:tcPr>
            <w:tcW w:w="2729" w:type="dxa"/>
            <w:vAlign w:val="top"/>
          </w:tcPr>
          <w:p w14:paraId="55C6047F">
            <w:pPr>
              <w:ind w:firstLine="185"/>
              <w:jc w:val="center"/>
            </w:pPr>
            <w:r>
              <w:rPr>
                <w:rFonts w:ascii="仿宋_GB2312" w:hAnsi="仿宋"/>
                <w:sz w:val="24"/>
              </w:rPr>
              <w:t>5</w:t>
            </w:r>
          </w:p>
        </w:tc>
        <w:tc>
          <w:tcPr>
            <w:tcW w:w="3233" w:type="dxa"/>
            <w:vAlign w:val="top"/>
          </w:tcPr>
          <w:p w14:paraId="3D9E2AFA">
            <w:pPr>
              <w:ind w:firstLine="185"/>
              <w:jc w:val="center"/>
            </w:pPr>
            <w:r>
              <w:rPr>
                <w:rFonts w:ascii="仿宋_GB2312" w:hAnsi="仿宋"/>
                <w:sz w:val="24"/>
              </w:rPr>
              <w:t>14</w:t>
            </w:r>
          </w:p>
        </w:tc>
      </w:tr>
      <w:tr w14:paraId="134153F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524D9CD1">
            <w:pPr>
              <w:ind w:firstLine="185"/>
            </w:pPr>
            <w:r>
              <w:rPr>
                <w:rFonts w:ascii="仿宋_GB2312" w:hAnsi="仿宋"/>
                <w:sz w:val="24"/>
              </w:rPr>
              <w:t>4</w:t>
            </w:r>
          </w:p>
        </w:tc>
        <w:tc>
          <w:tcPr>
            <w:tcW w:w="2303" w:type="dxa"/>
            <w:vAlign w:val="top"/>
          </w:tcPr>
          <w:p w14:paraId="7AF571C5">
            <w:r>
              <w:rPr>
                <w:rFonts w:ascii="仿宋_GB2312" w:hAnsi="仿宋"/>
                <w:sz w:val="24"/>
              </w:rPr>
              <w:t>三明市及辖市、县</w:t>
            </w:r>
          </w:p>
        </w:tc>
        <w:tc>
          <w:tcPr>
            <w:tcW w:w="2729" w:type="dxa"/>
            <w:vAlign w:val="top"/>
          </w:tcPr>
          <w:p w14:paraId="5A095E6A">
            <w:pPr>
              <w:ind w:firstLine="185"/>
              <w:jc w:val="center"/>
            </w:pPr>
            <w:r>
              <w:rPr>
                <w:rFonts w:ascii="仿宋_GB2312" w:hAnsi="仿宋"/>
                <w:sz w:val="24"/>
              </w:rPr>
              <w:t>2</w:t>
            </w:r>
          </w:p>
        </w:tc>
        <w:tc>
          <w:tcPr>
            <w:tcW w:w="3233" w:type="dxa"/>
            <w:vAlign w:val="top"/>
          </w:tcPr>
          <w:p w14:paraId="7C475894">
            <w:pPr>
              <w:ind w:firstLine="185"/>
              <w:jc w:val="center"/>
            </w:pPr>
            <w:r>
              <w:rPr>
                <w:rFonts w:ascii="仿宋_GB2312" w:hAnsi="仿宋"/>
                <w:sz w:val="24"/>
              </w:rPr>
              <w:t>7</w:t>
            </w:r>
          </w:p>
        </w:tc>
      </w:tr>
      <w:tr w14:paraId="50FD025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3882C15A">
            <w:pPr>
              <w:ind w:firstLine="185"/>
            </w:pPr>
            <w:r>
              <w:rPr>
                <w:rFonts w:ascii="仿宋_GB2312" w:hAnsi="仿宋"/>
                <w:sz w:val="24"/>
              </w:rPr>
              <w:t>5</w:t>
            </w:r>
          </w:p>
        </w:tc>
        <w:tc>
          <w:tcPr>
            <w:tcW w:w="2303" w:type="dxa"/>
            <w:vAlign w:val="top"/>
          </w:tcPr>
          <w:p w14:paraId="553898F6">
            <w:r>
              <w:rPr>
                <w:rFonts w:ascii="仿宋_GB2312" w:hAnsi="仿宋"/>
                <w:sz w:val="24"/>
              </w:rPr>
              <w:t>泉州市及辖市、县</w:t>
            </w:r>
          </w:p>
        </w:tc>
        <w:tc>
          <w:tcPr>
            <w:tcW w:w="2729" w:type="dxa"/>
            <w:vAlign w:val="top"/>
          </w:tcPr>
          <w:p w14:paraId="7E2CCE0C">
            <w:pPr>
              <w:ind w:firstLine="185"/>
              <w:jc w:val="center"/>
            </w:pPr>
            <w:r>
              <w:rPr>
                <w:rFonts w:ascii="仿宋_GB2312" w:hAnsi="仿宋"/>
                <w:sz w:val="24"/>
              </w:rPr>
              <w:t>14</w:t>
            </w:r>
          </w:p>
        </w:tc>
        <w:tc>
          <w:tcPr>
            <w:tcW w:w="3233" w:type="dxa"/>
            <w:vAlign w:val="top"/>
          </w:tcPr>
          <w:p w14:paraId="4D558AAB">
            <w:pPr>
              <w:ind w:firstLine="185"/>
              <w:jc w:val="center"/>
            </w:pPr>
            <w:r>
              <w:rPr>
                <w:rFonts w:ascii="仿宋_GB2312" w:hAnsi="仿宋"/>
                <w:sz w:val="24"/>
              </w:rPr>
              <w:t>49</w:t>
            </w:r>
          </w:p>
        </w:tc>
      </w:tr>
      <w:tr w14:paraId="470B9D7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699B7DC0">
            <w:pPr>
              <w:ind w:firstLine="185"/>
            </w:pPr>
            <w:r>
              <w:rPr>
                <w:rFonts w:ascii="仿宋_GB2312" w:hAnsi="仿宋"/>
                <w:sz w:val="24"/>
              </w:rPr>
              <w:t>6</w:t>
            </w:r>
          </w:p>
        </w:tc>
        <w:tc>
          <w:tcPr>
            <w:tcW w:w="2303" w:type="dxa"/>
            <w:vAlign w:val="top"/>
          </w:tcPr>
          <w:p w14:paraId="6892D21D">
            <w:r>
              <w:rPr>
                <w:rFonts w:ascii="仿宋_GB2312" w:hAnsi="仿宋"/>
                <w:sz w:val="24"/>
              </w:rPr>
              <w:t>漳州市及辖市、县</w:t>
            </w:r>
          </w:p>
        </w:tc>
        <w:tc>
          <w:tcPr>
            <w:tcW w:w="2729" w:type="dxa"/>
            <w:vAlign w:val="top"/>
          </w:tcPr>
          <w:p w14:paraId="5487566E">
            <w:pPr>
              <w:ind w:firstLine="185"/>
              <w:jc w:val="center"/>
            </w:pPr>
            <w:r>
              <w:rPr>
                <w:rFonts w:ascii="仿宋_GB2312" w:hAnsi="仿宋"/>
                <w:sz w:val="24"/>
              </w:rPr>
              <w:t>5</w:t>
            </w:r>
          </w:p>
        </w:tc>
        <w:tc>
          <w:tcPr>
            <w:tcW w:w="3233" w:type="dxa"/>
            <w:vAlign w:val="top"/>
          </w:tcPr>
          <w:p w14:paraId="2310A14A">
            <w:pPr>
              <w:ind w:firstLine="185"/>
              <w:jc w:val="center"/>
            </w:pPr>
            <w:r>
              <w:rPr>
                <w:rFonts w:ascii="仿宋_GB2312" w:hAnsi="仿宋"/>
                <w:sz w:val="24"/>
              </w:rPr>
              <w:t>12</w:t>
            </w:r>
          </w:p>
        </w:tc>
      </w:tr>
      <w:tr w14:paraId="1AD6CB8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391BBB6C">
            <w:pPr>
              <w:ind w:firstLine="185"/>
            </w:pPr>
            <w:r>
              <w:rPr>
                <w:rFonts w:ascii="仿宋_GB2312" w:hAnsi="仿宋"/>
                <w:sz w:val="24"/>
              </w:rPr>
              <w:t>7</w:t>
            </w:r>
          </w:p>
        </w:tc>
        <w:tc>
          <w:tcPr>
            <w:tcW w:w="2303" w:type="dxa"/>
            <w:vAlign w:val="top"/>
          </w:tcPr>
          <w:p w14:paraId="49F6A683">
            <w:r>
              <w:rPr>
                <w:rFonts w:ascii="仿宋_GB2312" w:hAnsi="仿宋"/>
                <w:sz w:val="24"/>
              </w:rPr>
              <w:t>南平市及辖市、县</w:t>
            </w:r>
          </w:p>
        </w:tc>
        <w:tc>
          <w:tcPr>
            <w:tcW w:w="2729" w:type="dxa"/>
            <w:vAlign w:val="top"/>
          </w:tcPr>
          <w:p w14:paraId="0E24E1B1">
            <w:pPr>
              <w:ind w:firstLine="185"/>
              <w:jc w:val="center"/>
            </w:pPr>
            <w:r>
              <w:rPr>
                <w:rFonts w:ascii="仿宋_GB2312" w:hAnsi="仿宋"/>
                <w:sz w:val="24"/>
              </w:rPr>
              <w:t>3</w:t>
            </w:r>
          </w:p>
        </w:tc>
        <w:tc>
          <w:tcPr>
            <w:tcW w:w="3233" w:type="dxa"/>
            <w:vAlign w:val="top"/>
          </w:tcPr>
          <w:p w14:paraId="09B8ADA1">
            <w:pPr>
              <w:ind w:firstLine="185"/>
              <w:jc w:val="center"/>
            </w:pPr>
            <w:r>
              <w:rPr>
                <w:rFonts w:ascii="仿宋_GB2312" w:hAnsi="仿宋"/>
                <w:sz w:val="24"/>
              </w:rPr>
              <w:t>9</w:t>
            </w:r>
          </w:p>
        </w:tc>
      </w:tr>
      <w:tr w14:paraId="71777E6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56D1B782">
            <w:pPr>
              <w:ind w:firstLine="185"/>
            </w:pPr>
            <w:r>
              <w:rPr>
                <w:rFonts w:ascii="仿宋_GB2312" w:hAnsi="仿宋"/>
                <w:sz w:val="24"/>
              </w:rPr>
              <w:t>8</w:t>
            </w:r>
          </w:p>
        </w:tc>
        <w:tc>
          <w:tcPr>
            <w:tcW w:w="2303" w:type="dxa"/>
            <w:vAlign w:val="top"/>
          </w:tcPr>
          <w:p w14:paraId="7C286B05">
            <w:r>
              <w:rPr>
                <w:rFonts w:ascii="仿宋_GB2312" w:hAnsi="仿宋"/>
                <w:sz w:val="24"/>
              </w:rPr>
              <w:t>龙岩市及辖市、县</w:t>
            </w:r>
          </w:p>
        </w:tc>
        <w:tc>
          <w:tcPr>
            <w:tcW w:w="2729" w:type="dxa"/>
            <w:vAlign w:val="top"/>
          </w:tcPr>
          <w:p w14:paraId="1D185663">
            <w:pPr>
              <w:ind w:firstLine="185"/>
              <w:jc w:val="center"/>
            </w:pPr>
            <w:r>
              <w:rPr>
                <w:rFonts w:ascii="仿宋_GB2312" w:hAnsi="仿宋"/>
                <w:sz w:val="24"/>
              </w:rPr>
              <w:t>8</w:t>
            </w:r>
          </w:p>
        </w:tc>
        <w:tc>
          <w:tcPr>
            <w:tcW w:w="3233" w:type="dxa"/>
            <w:vAlign w:val="top"/>
          </w:tcPr>
          <w:p w14:paraId="76AF5820">
            <w:pPr>
              <w:ind w:firstLine="185"/>
              <w:jc w:val="center"/>
            </w:pPr>
            <w:r>
              <w:rPr>
                <w:rFonts w:ascii="仿宋_GB2312" w:hAnsi="仿宋"/>
                <w:sz w:val="24"/>
              </w:rPr>
              <w:t>9</w:t>
            </w:r>
          </w:p>
        </w:tc>
      </w:tr>
      <w:tr w14:paraId="5332184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33C6B2DB">
            <w:pPr>
              <w:ind w:firstLine="185"/>
            </w:pPr>
            <w:r>
              <w:rPr>
                <w:rFonts w:ascii="仿宋_GB2312" w:hAnsi="仿宋"/>
                <w:sz w:val="24"/>
              </w:rPr>
              <w:t>9</w:t>
            </w:r>
          </w:p>
        </w:tc>
        <w:tc>
          <w:tcPr>
            <w:tcW w:w="2303" w:type="dxa"/>
            <w:vAlign w:val="top"/>
          </w:tcPr>
          <w:p w14:paraId="4D90D6D2">
            <w:r>
              <w:rPr>
                <w:rFonts w:ascii="仿宋_GB2312" w:hAnsi="仿宋"/>
                <w:sz w:val="24"/>
              </w:rPr>
              <w:t>宁德市及辖市、县</w:t>
            </w:r>
          </w:p>
        </w:tc>
        <w:tc>
          <w:tcPr>
            <w:tcW w:w="2729" w:type="dxa"/>
            <w:vAlign w:val="top"/>
          </w:tcPr>
          <w:p w14:paraId="12E5D6C0">
            <w:pPr>
              <w:ind w:firstLine="185"/>
              <w:jc w:val="center"/>
            </w:pPr>
            <w:r>
              <w:rPr>
                <w:rFonts w:ascii="仿宋_GB2312" w:hAnsi="仿宋"/>
                <w:sz w:val="24"/>
              </w:rPr>
              <w:t>4</w:t>
            </w:r>
          </w:p>
        </w:tc>
        <w:tc>
          <w:tcPr>
            <w:tcW w:w="3233" w:type="dxa"/>
            <w:vAlign w:val="top"/>
          </w:tcPr>
          <w:p w14:paraId="227570C0">
            <w:pPr>
              <w:ind w:firstLine="185"/>
              <w:jc w:val="center"/>
            </w:pPr>
            <w:r>
              <w:rPr>
                <w:rFonts w:ascii="仿宋_GB2312" w:hAnsi="仿宋"/>
                <w:sz w:val="24"/>
              </w:rPr>
              <w:t>12</w:t>
            </w:r>
          </w:p>
        </w:tc>
      </w:tr>
      <w:tr w14:paraId="7B094CC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851" w:type="dxa"/>
            <w:vAlign w:val="center"/>
          </w:tcPr>
          <w:p w14:paraId="328C99BE">
            <w:pPr>
              <w:ind w:firstLine="185"/>
            </w:pPr>
            <w:r>
              <w:rPr>
                <w:rFonts w:ascii="仿宋_GB2312" w:hAnsi="仿宋"/>
                <w:sz w:val="24"/>
              </w:rPr>
              <w:t>10</w:t>
            </w:r>
          </w:p>
        </w:tc>
        <w:tc>
          <w:tcPr>
            <w:tcW w:w="2303" w:type="dxa"/>
            <w:vAlign w:val="top"/>
          </w:tcPr>
          <w:p w14:paraId="5C0E1A67">
            <w:r>
              <w:rPr>
                <w:rFonts w:ascii="仿宋_GB2312" w:hAnsi="仿宋"/>
                <w:sz w:val="24"/>
              </w:rPr>
              <w:t>平潭综合实验区</w:t>
            </w:r>
          </w:p>
        </w:tc>
        <w:tc>
          <w:tcPr>
            <w:tcW w:w="2729" w:type="dxa"/>
            <w:vAlign w:val="top"/>
          </w:tcPr>
          <w:p w14:paraId="6EDBBB42">
            <w:pPr>
              <w:ind w:firstLine="185"/>
              <w:jc w:val="center"/>
            </w:pPr>
            <w:r>
              <w:rPr>
                <w:rFonts w:ascii="仿宋_GB2312" w:hAnsi="仿宋"/>
                <w:sz w:val="24"/>
              </w:rPr>
              <w:t>0</w:t>
            </w:r>
          </w:p>
        </w:tc>
        <w:tc>
          <w:tcPr>
            <w:tcW w:w="3233" w:type="dxa"/>
            <w:vAlign w:val="top"/>
          </w:tcPr>
          <w:p w14:paraId="29FBA4EC">
            <w:pPr>
              <w:ind w:firstLine="185"/>
              <w:jc w:val="center"/>
            </w:pPr>
            <w:r>
              <w:rPr>
                <w:rFonts w:ascii="仿宋_GB2312" w:hAnsi="仿宋"/>
                <w:sz w:val="24"/>
              </w:rPr>
              <w:t>1</w:t>
            </w:r>
          </w:p>
        </w:tc>
      </w:tr>
      <w:tr w14:paraId="6A10C4D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jc w:val="center"/>
        </w:trPr>
        <w:tc>
          <w:tcPr>
            <w:tcW w:w="3154" w:type="dxa"/>
            <w:gridSpan w:val="2"/>
            <w:vAlign w:val="center"/>
          </w:tcPr>
          <w:p w14:paraId="770041F6">
            <w:pPr>
              <w:ind w:firstLine="185"/>
            </w:pPr>
            <w:r>
              <w:rPr>
                <w:rFonts w:ascii="仿宋_GB2312" w:hAnsi="仿宋"/>
                <w:sz w:val="24"/>
              </w:rPr>
              <w:t>合计</w:t>
            </w:r>
          </w:p>
        </w:tc>
        <w:tc>
          <w:tcPr>
            <w:tcW w:w="2729" w:type="dxa"/>
            <w:vAlign w:val="top"/>
          </w:tcPr>
          <w:p w14:paraId="094C0EFB">
            <w:pPr>
              <w:ind w:firstLine="185"/>
              <w:jc w:val="center"/>
            </w:pPr>
            <w:r>
              <w:rPr>
                <w:rFonts w:ascii="仿宋_GB2312" w:hAnsi="仿宋"/>
                <w:sz w:val="24"/>
              </w:rPr>
              <w:t>79</w:t>
            </w:r>
          </w:p>
        </w:tc>
        <w:tc>
          <w:tcPr>
            <w:tcW w:w="3233" w:type="dxa"/>
            <w:vAlign w:val="top"/>
          </w:tcPr>
          <w:p w14:paraId="35C9FF35">
            <w:pPr>
              <w:ind w:firstLine="185"/>
              <w:jc w:val="center"/>
            </w:pPr>
            <w:r>
              <w:rPr>
                <w:rFonts w:ascii="仿宋_GB2312" w:hAnsi="仿宋"/>
                <w:sz w:val="24"/>
              </w:rPr>
              <w:t>203</w:t>
            </w:r>
          </w:p>
        </w:tc>
      </w:tr>
    </w:tbl>
    <w:p w14:paraId="482C5353">
      <w:pPr>
        <w:rPr>
          <w:rFonts w:ascii="仿宋_GB2312" w:hAnsi="仿宋"/>
          <w:sz w:val="24"/>
        </w:rPr>
      </w:pPr>
    </w:p>
    <w:p w14:paraId="0BA42A82">
      <w:pPr>
        <w:pStyle w:val="11"/>
        <w:numPr>
          <w:ilvl w:val="0"/>
          <w:numId w:val="2"/>
        </w:numPr>
        <w:spacing w:before="0" w:after="0" w:line="600" w:lineRule="exact"/>
        <w:jc w:val="center"/>
      </w:pPr>
      <w:r>
        <w:rPr>
          <w:rFonts w:ascii="仿宋_GB2312" w:hAnsi="仿宋"/>
          <w:b/>
          <w:sz w:val="36"/>
          <w:szCs w:val="36"/>
        </w:rPr>
        <w:t xml:space="preserve">  投资估算与资金筹措</w:t>
      </w:r>
    </w:p>
    <w:p w14:paraId="0A62A6A1">
      <w:r>
        <w:rPr>
          <w:rFonts w:ascii="仿宋_GB2312" w:hAnsi="仿宋"/>
          <w:sz w:val="29"/>
        </w:rPr>
        <w:t>（一）投资估算</w:t>
      </w:r>
    </w:p>
    <w:p w14:paraId="1BBB7AA6">
      <w:pPr>
        <w:ind w:firstLine="548"/>
      </w:pPr>
      <w:r>
        <w:rPr>
          <w:rFonts w:ascii="仿宋_GB2312" w:hAnsi="仿宋"/>
          <w:sz w:val="29"/>
        </w:rPr>
        <w:t>福建省城镇燃气基础设施“十二五”期间建设总投资为414692万元。包括如下2个子项。</w:t>
      </w:r>
    </w:p>
    <w:p w14:paraId="4B87BF98">
      <w:pPr>
        <w:ind w:firstLine="548"/>
      </w:pPr>
      <w:r>
        <w:rPr>
          <w:rFonts w:ascii="仿宋_GB2312" w:hAnsi="仿宋"/>
          <w:sz w:val="29"/>
        </w:rPr>
        <w:t>1、LNG气化站。投资估算见表8-1。</w:t>
      </w:r>
    </w:p>
    <w:p w14:paraId="03F9D06F">
      <w:pPr>
        <w:ind w:firstLine="397"/>
        <w:jc w:val="center"/>
        <w:rPr>
          <w:rFonts w:ascii="仿宋_GB2312" w:hAnsi="仿宋"/>
          <w:sz w:val="29"/>
        </w:rPr>
      </w:pPr>
      <w:r>
        <w:rPr>
          <w:rFonts w:ascii="仿宋_GB2312" w:hAnsi="仿宋"/>
          <w:szCs w:val="21"/>
        </w:rPr>
        <w:t>表8-1</w:t>
      </w:r>
      <w:r>
        <w:rPr>
          <w:rFonts w:ascii="仿宋_GB2312" w:hAnsi="仿宋"/>
          <w:sz w:val="24"/>
        </w:rPr>
        <w:t xml:space="preserve"> 福建省LNG气化站投资估算表</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736"/>
        <w:gridCol w:w="2768"/>
        <w:gridCol w:w="2261"/>
        <w:gridCol w:w="1371"/>
        <w:gridCol w:w="1243"/>
        <w:gridCol w:w="737"/>
      </w:tblGrid>
      <w:tr w14:paraId="36999DD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shd w:val="clear" w:color="auto" w:fill="D9D9D9"/>
            <w:vAlign w:val="center"/>
          </w:tcPr>
          <w:p w14:paraId="09391254">
            <w:r>
              <w:rPr>
                <w:rFonts w:ascii="仿宋_GB2312" w:hAnsi="仿宋"/>
                <w:sz w:val="24"/>
              </w:rPr>
              <w:t>序号</w:t>
            </w:r>
          </w:p>
        </w:tc>
        <w:tc>
          <w:tcPr>
            <w:tcW w:w="2768" w:type="dxa"/>
            <w:shd w:val="clear" w:color="auto" w:fill="D9D9D9"/>
            <w:vAlign w:val="center"/>
          </w:tcPr>
          <w:p w14:paraId="579FEDBA">
            <w:r>
              <w:rPr>
                <w:rFonts w:ascii="仿宋_GB2312" w:hAnsi="仿宋"/>
                <w:sz w:val="24"/>
              </w:rPr>
              <w:t>工程或费用名称</w:t>
            </w:r>
          </w:p>
        </w:tc>
        <w:tc>
          <w:tcPr>
            <w:tcW w:w="2261" w:type="dxa"/>
            <w:shd w:val="clear" w:color="auto" w:fill="D9D9D9"/>
            <w:vAlign w:val="center"/>
          </w:tcPr>
          <w:p w14:paraId="1C0735A7">
            <w:r>
              <w:rPr>
                <w:rFonts w:ascii="仿宋_GB2312" w:hAnsi="仿宋"/>
                <w:sz w:val="24"/>
              </w:rPr>
              <w:t>估算金额（万元）</w:t>
            </w:r>
          </w:p>
        </w:tc>
        <w:tc>
          <w:tcPr>
            <w:tcW w:w="1371" w:type="dxa"/>
            <w:shd w:val="clear" w:color="auto" w:fill="D9D9D9"/>
            <w:vAlign w:val="center"/>
          </w:tcPr>
          <w:p w14:paraId="5B585F10">
            <w:r>
              <w:rPr>
                <w:rFonts w:ascii="仿宋_GB2312" w:hAnsi="仿宋"/>
                <w:sz w:val="24"/>
              </w:rPr>
              <w:t>比例（%）</w:t>
            </w:r>
          </w:p>
        </w:tc>
        <w:tc>
          <w:tcPr>
            <w:tcW w:w="1243" w:type="dxa"/>
            <w:shd w:val="clear" w:color="auto" w:fill="D9D9D9"/>
            <w:vAlign w:val="center"/>
          </w:tcPr>
          <w:p w14:paraId="7F5FF54A">
            <w:r>
              <w:rPr>
                <w:rFonts w:ascii="仿宋_GB2312" w:hAnsi="仿宋"/>
                <w:sz w:val="24"/>
              </w:rPr>
              <w:t>经济指标</w:t>
            </w:r>
          </w:p>
        </w:tc>
        <w:tc>
          <w:tcPr>
            <w:tcW w:w="737" w:type="dxa"/>
            <w:shd w:val="clear" w:color="auto" w:fill="D9D9D9"/>
            <w:vAlign w:val="center"/>
          </w:tcPr>
          <w:p w14:paraId="4596D7F6">
            <w:r>
              <w:rPr>
                <w:rFonts w:ascii="仿宋_GB2312" w:hAnsi="仿宋"/>
                <w:sz w:val="24"/>
              </w:rPr>
              <w:t>备注</w:t>
            </w:r>
          </w:p>
        </w:tc>
      </w:tr>
      <w:tr w14:paraId="6826A55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center"/>
          </w:tcPr>
          <w:p w14:paraId="13E6FE7A">
            <w:r>
              <w:rPr>
                <w:rFonts w:ascii="仿宋_GB2312" w:hAnsi="仿宋"/>
                <w:sz w:val="24"/>
              </w:rPr>
              <w:t>一</w:t>
            </w:r>
          </w:p>
        </w:tc>
        <w:tc>
          <w:tcPr>
            <w:tcW w:w="2768" w:type="dxa"/>
            <w:vAlign w:val="center"/>
          </w:tcPr>
          <w:p w14:paraId="3915890D">
            <w:r>
              <w:rPr>
                <w:rFonts w:ascii="仿宋_GB2312" w:hAnsi="仿宋"/>
                <w:sz w:val="24"/>
              </w:rPr>
              <w:t>总投资（万元）</w:t>
            </w:r>
          </w:p>
        </w:tc>
        <w:tc>
          <w:tcPr>
            <w:tcW w:w="2261" w:type="dxa"/>
            <w:vAlign w:val="center"/>
          </w:tcPr>
          <w:p w14:paraId="28ECDE7C">
            <w:pPr>
              <w:jc w:val="center"/>
            </w:pPr>
            <w:r>
              <w:rPr>
                <w:rFonts w:ascii="仿宋_GB2312" w:hAnsi="仿宋"/>
              </w:rPr>
              <w:t>98162</w:t>
            </w:r>
          </w:p>
        </w:tc>
        <w:tc>
          <w:tcPr>
            <w:tcW w:w="1371" w:type="dxa"/>
            <w:vAlign w:val="center"/>
          </w:tcPr>
          <w:p w14:paraId="084541CF">
            <w:pPr>
              <w:jc w:val="center"/>
            </w:pPr>
            <w:r>
              <w:rPr>
                <w:rFonts w:ascii="仿宋_GB2312" w:hAnsi="仿宋"/>
              </w:rPr>
              <w:t>100.00</w:t>
            </w:r>
          </w:p>
        </w:tc>
        <w:tc>
          <w:tcPr>
            <w:tcW w:w="1243" w:type="dxa"/>
            <w:vAlign w:val="center"/>
          </w:tcPr>
          <w:p w14:paraId="020FAD89"/>
        </w:tc>
        <w:tc>
          <w:tcPr>
            <w:tcW w:w="737" w:type="dxa"/>
            <w:vAlign w:val="center"/>
          </w:tcPr>
          <w:p w14:paraId="716ADAC9"/>
        </w:tc>
      </w:tr>
      <w:tr w14:paraId="54D316C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center"/>
          </w:tcPr>
          <w:p w14:paraId="31472D3A">
            <w:r>
              <w:rPr>
                <w:rFonts w:ascii="仿宋_GB2312" w:hAnsi="仿宋"/>
                <w:sz w:val="24"/>
              </w:rPr>
              <w:t>二</w:t>
            </w:r>
          </w:p>
        </w:tc>
        <w:tc>
          <w:tcPr>
            <w:tcW w:w="2768" w:type="dxa"/>
            <w:vAlign w:val="center"/>
          </w:tcPr>
          <w:p w14:paraId="0E3523F0">
            <w:r>
              <w:rPr>
                <w:rFonts w:ascii="仿宋_GB2312" w:hAnsi="仿宋"/>
                <w:sz w:val="24"/>
              </w:rPr>
              <w:t>静态投资（万元）</w:t>
            </w:r>
          </w:p>
        </w:tc>
        <w:tc>
          <w:tcPr>
            <w:tcW w:w="2261" w:type="dxa"/>
            <w:vAlign w:val="center"/>
          </w:tcPr>
          <w:p w14:paraId="7C6819D4">
            <w:pPr>
              <w:jc w:val="center"/>
            </w:pPr>
            <w:r>
              <w:rPr>
                <w:rFonts w:ascii="仿宋_GB2312" w:hAnsi="仿宋"/>
              </w:rPr>
              <w:t>92370</w:t>
            </w:r>
          </w:p>
        </w:tc>
        <w:tc>
          <w:tcPr>
            <w:tcW w:w="1371" w:type="dxa"/>
            <w:vAlign w:val="center"/>
          </w:tcPr>
          <w:p w14:paraId="5696E2DD">
            <w:pPr>
              <w:jc w:val="center"/>
            </w:pPr>
            <w:r>
              <w:rPr>
                <w:rFonts w:ascii="仿宋_GB2312" w:hAnsi="仿宋"/>
              </w:rPr>
              <w:t>94.10</w:t>
            </w:r>
          </w:p>
        </w:tc>
        <w:tc>
          <w:tcPr>
            <w:tcW w:w="1243" w:type="dxa"/>
            <w:vAlign w:val="center"/>
          </w:tcPr>
          <w:p w14:paraId="4B4BAB89"/>
        </w:tc>
        <w:tc>
          <w:tcPr>
            <w:tcW w:w="737" w:type="dxa"/>
            <w:vAlign w:val="center"/>
          </w:tcPr>
          <w:p w14:paraId="40B12E70"/>
        </w:tc>
      </w:tr>
      <w:tr w14:paraId="3FA009B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12742621">
            <w:r>
              <w:rPr>
                <w:rFonts w:ascii="仿宋_GB2312" w:hAnsi="仿宋"/>
                <w:sz w:val="24"/>
              </w:rPr>
              <w:t>三</w:t>
            </w:r>
          </w:p>
        </w:tc>
        <w:tc>
          <w:tcPr>
            <w:tcW w:w="2768" w:type="dxa"/>
            <w:vAlign w:val="center"/>
          </w:tcPr>
          <w:p w14:paraId="2CFF75CC">
            <w:r>
              <w:rPr>
                <w:rFonts w:ascii="仿宋_GB2312" w:hAnsi="仿宋"/>
                <w:sz w:val="24"/>
              </w:rPr>
              <w:t>建安工程费（万元）</w:t>
            </w:r>
          </w:p>
        </w:tc>
        <w:tc>
          <w:tcPr>
            <w:tcW w:w="2261" w:type="dxa"/>
            <w:vAlign w:val="center"/>
          </w:tcPr>
          <w:p w14:paraId="26240190">
            <w:pPr>
              <w:jc w:val="center"/>
            </w:pPr>
            <w:r>
              <w:rPr>
                <w:rFonts w:ascii="仿宋_GB2312" w:hAnsi="仿宋"/>
              </w:rPr>
              <w:t>62431</w:t>
            </w:r>
          </w:p>
        </w:tc>
        <w:tc>
          <w:tcPr>
            <w:tcW w:w="1371" w:type="dxa"/>
            <w:vAlign w:val="center"/>
          </w:tcPr>
          <w:p w14:paraId="39FE275E">
            <w:pPr>
              <w:jc w:val="center"/>
            </w:pPr>
            <w:r>
              <w:rPr>
                <w:rFonts w:ascii="仿宋_GB2312" w:hAnsi="仿宋"/>
              </w:rPr>
              <w:t>63.60</w:t>
            </w:r>
          </w:p>
        </w:tc>
        <w:tc>
          <w:tcPr>
            <w:tcW w:w="1243" w:type="dxa"/>
            <w:vAlign w:val="center"/>
          </w:tcPr>
          <w:p w14:paraId="37E36F75">
            <w:pPr>
              <w:jc w:val="right"/>
            </w:pPr>
          </w:p>
        </w:tc>
        <w:tc>
          <w:tcPr>
            <w:tcW w:w="737" w:type="dxa"/>
            <w:vAlign w:val="bottom"/>
          </w:tcPr>
          <w:p w14:paraId="55F142E6"/>
        </w:tc>
      </w:tr>
      <w:tr w14:paraId="566FA77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6A300392">
            <w:r>
              <w:rPr>
                <w:rFonts w:ascii="仿宋_GB2312" w:hAnsi="仿宋"/>
                <w:sz w:val="24"/>
              </w:rPr>
              <w:t>四</w:t>
            </w:r>
          </w:p>
        </w:tc>
        <w:tc>
          <w:tcPr>
            <w:tcW w:w="2768" w:type="dxa"/>
            <w:vAlign w:val="center"/>
          </w:tcPr>
          <w:p w14:paraId="1F469CC5">
            <w:r>
              <w:rPr>
                <w:rFonts w:ascii="仿宋_GB2312" w:hAnsi="仿宋"/>
                <w:sz w:val="24"/>
              </w:rPr>
              <w:t>其它费用（万元）</w:t>
            </w:r>
          </w:p>
        </w:tc>
        <w:tc>
          <w:tcPr>
            <w:tcW w:w="2261" w:type="dxa"/>
            <w:vAlign w:val="center"/>
          </w:tcPr>
          <w:p w14:paraId="146BF28E">
            <w:pPr>
              <w:jc w:val="center"/>
            </w:pPr>
            <w:r>
              <w:rPr>
                <w:rFonts w:ascii="仿宋_GB2312" w:hAnsi="仿宋"/>
              </w:rPr>
              <w:t>17964</w:t>
            </w:r>
          </w:p>
        </w:tc>
        <w:tc>
          <w:tcPr>
            <w:tcW w:w="1371" w:type="dxa"/>
            <w:vAlign w:val="center"/>
          </w:tcPr>
          <w:p w14:paraId="2BFF0615">
            <w:pPr>
              <w:jc w:val="center"/>
            </w:pPr>
            <w:r>
              <w:rPr>
                <w:rFonts w:ascii="仿宋_GB2312" w:hAnsi="仿宋"/>
              </w:rPr>
              <w:t>18.30</w:t>
            </w:r>
          </w:p>
        </w:tc>
        <w:tc>
          <w:tcPr>
            <w:tcW w:w="1243" w:type="dxa"/>
            <w:vAlign w:val="center"/>
          </w:tcPr>
          <w:p w14:paraId="714CDF8A">
            <w:pPr>
              <w:jc w:val="right"/>
            </w:pPr>
          </w:p>
        </w:tc>
        <w:tc>
          <w:tcPr>
            <w:tcW w:w="737" w:type="dxa"/>
            <w:vAlign w:val="bottom"/>
          </w:tcPr>
          <w:p w14:paraId="7087D037"/>
        </w:tc>
      </w:tr>
      <w:tr w14:paraId="675D5A71">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4A7ED5D5">
            <w:r>
              <w:rPr>
                <w:rFonts w:ascii="仿宋_GB2312" w:hAnsi="仿宋"/>
                <w:sz w:val="24"/>
              </w:rPr>
              <w:t>五</w:t>
            </w:r>
          </w:p>
        </w:tc>
        <w:tc>
          <w:tcPr>
            <w:tcW w:w="2768" w:type="dxa"/>
            <w:vAlign w:val="center"/>
          </w:tcPr>
          <w:p w14:paraId="370AF8B7">
            <w:r>
              <w:rPr>
                <w:rFonts w:ascii="仿宋_GB2312" w:hAnsi="仿宋"/>
                <w:sz w:val="24"/>
              </w:rPr>
              <w:t>基本预备费（万元）</w:t>
            </w:r>
          </w:p>
        </w:tc>
        <w:tc>
          <w:tcPr>
            <w:tcW w:w="2261" w:type="dxa"/>
            <w:vAlign w:val="center"/>
          </w:tcPr>
          <w:p w14:paraId="0BE17011">
            <w:pPr>
              <w:jc w:val="center"/>
            </w:pPr>
            <w:r>
              <w:rPr>
                <w:rFonts w:ascii="仿宋_GB2312" w:hAnsi="仿宋"/>
              </w:rPr>
              <w:t>12074</w:t>
            </w:r>
          </w:p>
        </w:tc>
        <w:tc>
          <w:tcPr>
            <w:tcW w:w="1371" w:type="dxa"/>
            <w:vAlign w:val="center"/>
          </w:tcPr>
          <w:p w14:paraId="2BFF502C">
            <w:pPr>
              <w:jc w:val="center"/>
            </w:pPr>
            <w:r>
              <w:rPr>
                <w:rFonts w:ascii="仿宋_GB2312" w:hAnsi="仿宋"/>
              </w:rPr>
              <w:t>12.30</w:t>
            </w:r>
          </w:p>
        </w:tc>
        <w:tc>
          <w:tcPr>
            <w:tcW w:w="1243" w:type="dxa"/>
            <w:vAlign w:val="center"/>
          </w:tcPr>
          <w:p w14:paraId="48C290BB">
            <w:pPr>
              <w:jc w:val="right"/>
            </w:pPr>
          </w:p>
        </w:tc>
        <w:tc>
          <w:tcPr>
            <w:tcW w:w="737" w:type="dxa"/>
            <w:vAlign w:val="bottom"/>
          </w:tcPr>
          <w:p w14:paraId="403894AC"/>
        </w:tc>
      </w:tr>
      <w:tr w14:paraId="2176C8CC">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056BFF20">
            <w:r>
              <w:rPr>
                <w:rFonts w:ascii="仿宋_GB2312" w:hAnsi="仿宋"/>
                <w:sz w:val="24"/>
              </w:rPr>
              <w:t>六</w:t>
            </w:r>
          </w:p>
        </w:tc>
        <w:tc>
          <w:tcPr>
            <w:tcW w:w="2768" w:type="dxa"/>
            <w:vAlign w:val="center"/>
          </w:tcPr>
          <w:p w14:paraId="10A53F11">
            <w:r>
              <w:rPr>
                <w:rFonts w:ascii="仿宋_GB2312" w:hAnsi="仿宋"/>
                <w:sz w:val="24"/>
              </w:rPr>
              <w:t>建设期利息（万元）</w:t>
            </w:r>
          </w:p>
        </w:tc>
        <w:tc>
          <w:tcPr>
            <w:tcW w:w="2261" w:type="dxa"/>
            <w:vAlign w:val="center"/>
          </w:tcPr>
          <w:p w14:paraId="61529D9B">
            <w:pPr>
              <w:jc w:val="center"/>
            </w:pPr>
            <w:r>
              <w:rPr>
                <w:rFonts w:ascii="仿宋_GB2312" w:hAnsi="仿宋"/>
              </w:rPr>
              <w:t>2454</w:t>
            </w:r>
          </w:p>
        </w:tc>
        <w:tc>
          <w:tcPr>
            <w:tcW w:w="1371" w:type="dxa"/>
            <w:vAlign w:val="center"/>
          </w:tcPr>
          <w:p w14:paraId="0324D1B6">
            <w:pPr>
              <w:jc w:val="center"/>
            </w:pPr>
            <w:r>
              <w:rPr>
                <w:rFonts w:ascii="仿宋_GB2312" w:hAnsi="仿宋"/>
              </w:rPr>
              <w:t>2.50</w:t>
            </w:r>
          </w:p>
        </w:tc>
        <w:tc>
          <w:tcPr>
            <w:tcW w:w="1243" w:type="dxa"/>
            <w:vAlign w:val="center"/>
          </w:tcPr>
          <w:p w14:paraId="15FDDB6C">
            <w:pPr>
              <w:jc w:val="right"/>
            </w:pPr>
          </w:p>
        </w:tc>
        <w:tc>
          <w:tcPr>
            <w:tcW w:w="737" w:type="dxa"/>
            <w:vAlign w:val="bottom"/>
          </w:tcPr>
          <w:p w14:paraId="2CDF685F"/>
        </w:tc>
      </w:tr>
      <w:tr w14:paraId="3789689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4A42B610">
            <w:r>
              <w:rPr>
                <w:rFonts w:ascii="仿宋_GB2312" w:hAnsi="仿宋"/>
                <w:sz w:val="24"/>
              </w:rPr>
              <w:t>七</w:t>
            </w:r>
          </w:p>
        </w:tc>
        <w:tc>
          <w:tcPr>
            <w:tcW w:w="2768" w:type="dxa"/>
            <w:vAlign w:val="center"/>
          </w:tcPr>
          <w:p w14:paraId="5A7B75AC">
            <w:r>
              <w:rPr>
                <w:rFonts w:ascii="仿宋_GB2312" w:hAnsi="仿宋"/>
                <w:sz w:val="24"/>
              </w:rPr>
              <w:t>铺底流动资金（万元）</w:t>
            </w:r>
          </w:p>
        </w:tc>
        <w:tc>
          <w:tcPr>
            <w:tcW w:w="2261" w:type="dxa"/>
            <w:vAlign w:val="center"/>
          </w:tcPr>
          <w:p w14:paraId="5705064C">
            <w:pPr>
              <w:jc w:val="center"/>
            </w:pPr>
            <w:r>
              <w:rPr>
                <w:rFonts w:ascii="仿宋_GB2312" w:hAnsi="仿宋"/>
              </w:rPr>
              <w:t>3338</w:t>
            </w:r>
          </w:p>
        </w:tc>
        <w:tc>
          <w:tcPr>
            <w:tcW w:w="1371" w:type="dxa"/>
            <w:vAlign w:val="center"/>
          </w:tcPr>
          <w:p w14:paraId="3A993FF5">
            <w:pPr>
              <w:jc w:val="center"/>
            </w:pPr>
            <w:r>
              <w:rPr>
                <w:rFonts w:ascii="仿宋_GB2312" w:hAnsi="仿宋"/>
              </w:rPr>
              <w:t>3.40</w:t>
            </w:r>
          </w:p>
        </w:tc>
        <w:tc>
          <w:tcPr>
            <w:tcW w:w="1243" w:type="dxa"/>
            <w:vAlign w:val="center"/>
          </w:tcPr>
          <w:p w14:paraId="522AD59A">
            <w:pPr>
              <w:jc w:val="right"/>
            </w:pPr>
          </w:p>
        </w:tc>
        <w:tc>
          <w:tcPr>
            <w:tcW w:w="737" w:type="dxa"/>
            <w:vAlign w:val="bottom"/>
          </w:tcPr>
          <w:p w14:paraId="3B981334"/>
        </w:tc>
      </w:tr>
    </w:tbl>
    <w:p w14:paraId="6B14925A">
      <w:pPr>
        <w:ind w:firstLine="548"/>
        <w:rPr>
          <w:rFonts w:ascii="仿宋_GB2312" w:hAnsi="仿宋"/>
        </w:rPr>
      </w:pPr>
      <w:r>
        <w:rPr>
          <w:rFonts w:ascii="仿宋_GB2312" w:hAnsi="仿宋"/>
          <w:sz w:val="29"/>
        </w:rPr>
        <w:t>2、LNG汽车加气站</w:t>
      </w:r>
    </w:p>
    <w:p w14:paraId="5EE2D15E">
      <w:pPr>
        <w:ind w:firstLine="548"/>
        <w:rPr>
          <w:rFonts w:ascii="仿宋_GB2312" w:hAnsi="仿宋"/>
        </w:rPr>
      </w:pPr>
      <w:r>
        <w:rPr>
          <w:rFonts w:ascii="仿宋_GB2312" w:hAnsi="仿宋"/>
          <w:sz w:val="29"/>
        </w:rPr>
        <w:t>福建省LNG汽车加气站投资估算见表8-2。</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736"/>
        <w:gridCol w:w="2768"/>
        <w:gridCol w:w="2261"/>
        <w:gridCol w:w="1371"/>
        <w:gridCol w:w="1243"/>
        <w:gridCol w:w="737"/>
      </w:tblGrid>
      <w:tr w14:paraId="4075388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shd w:val="clear" w:color="auto" w:fill="D9D9D9"/>
            <w:vAlign w:val="center"/>
          </w:tcPr>
          <w:p w14:paraId="6F0F186F">
            <w:r>
              <w:rPr>
                <w:rFonts w:ascii="仿宋_GB2312" w:hAnsi="仿宋"/>
                <w:sz w:val="24"/>
              </w:rPr>
              <w:t>序号</w:t>
            </w:r>
          </w:p>
        </w:tc>
        <w:tc>
          <w:tcPr>
            <w:tcW w:w="2768" w:type="dxa"/>
            <w:shd w:val="clear" w:color="auto" w:fill="D9D9D9"/>
            <w:vAlign w:val="center"/>
          </w:tcPr>
          <w:p w14:paraId="39FD7601">
            <w:r>
              <w:rPr>
                <w:rFonts w:ascii="仿宋_GB2312" w:hAnsi="仿宋"/>
                <w:sz w:val="24"/>
              </w:rPr>
              <w:t>工程或费用名称</w:t>
            </w:r>
          </w:p>
        </w:tc>
        <w:tc>
          <w:tcPr>
            <w:tcW w:w="2261" w:type="dxa"/>
            <w:shd w:val="clear" w:color="auto" w:fill="D9D9D9"/>
            <w:vAlign w:val="center"/>
          </w:tcPr>
          <w:p w14:paraId="135682BF">
            <w:r>
              <w:rPr>
                <w:rFonts w:ascii="仿宋_GB2312" w:hAnsi="仿宋"/>
                <w:sz w:val="24"/>
              </w:rPr>
              <w:t>估算金额（万元）</w:t>
            </w:r>
          </w:p>
        </w:tc>
        <w:tc>
          <w:tcPr>
            <w:tcW w:w="1371" w:type="dxa"/>
            <w:shd w:val="clear" w:color="auto" w:fill="D9D9D9"/>
            <w:vAlign w:val="center"/>
          </w:tcPr>
          <w:p w14:paraId="3F27DCAB">
            <w:r>
              <w:rPr>
                <w:rFonts w:ascii="仿宋_GB2312" w:hAnsi="仿宋"/>
                <w:sz w:val="24"/>
              </w:rPr>
              <w:t>比例（%）</w:t>
            </w:r>
          </w:p>
        </w:tc>
        <w:tc>
          <w:tcPr>
            <w:tcW w:w="1243" w:type="dxa"/>
            <w:shd w:val="clear" w:color="auto" w:fill="D9D9D9"/>
            <w:vAlign w:val="center"/>
          </w:tcPr>
          <w:p w14:paraId="0FD9F94B">
            <w:r>
              <w:rPr>
                <w:rFonts w:ascii="仿宋_GB2312" w:hAnsi="仿宋"/>
                <w:sz w:val="24"/>
              </w:rPr>
              <w:t>经济指标</w:t>
            </w:r>
          </w:p>
        </w:tc>
        <w:tc>
          <w:tcPr>
            <w:tcW w:w="737" w:type="dxa"/>
            <w:shd w:val="clear" w:color="auto" w:fill="D9D9D9"/>
            <w:vAlign w:val="center"/>
          </w:tcPr>
          <w:p w14:paraId="1645A0B0">
            <w:r>
              <w:rPr>
                <w:rFonts w:ascii="仿宋_GB2312" w:hAnsi="仿宋"/>
                <w:sz w:val="24"/>
              </w:rPr>
              <w:t>备注</w:t>
            </w:r>
          </w:p>
        </w:tc>
      </w:tr>
      <w:tr w14:paraId="34DD747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center"/>
          </w:tcPr>
          <w:p w14:paraId="00E09C10">
            <w:r>
              <w:rPr>
                <w:rFonts w:ascii="仿宋_GB2312" w:hAnsi="仿宋"/>
                <w:sz w:val="24"/>
              </w:rPr>
              <w:t>一</w:t>
            </w:r>
          </w:p>
        </w:tc>
        <w:tc>
          <w:tcPr>
            <w:tcW w:w="2768" w:type="dxa"/>
            <w:vAlign w:val="center"/>
          </w:tcPr>
          <w:p w14:paraId="3CF8015D">
            <w:r>
              <w:rPr>
                <w:rFonts w:ascii="仿宋_GB2312" w:hAnsi="仿宋"/>
                <w:sz w:val="24"/>
              </w:rPr>
              <w:t>总投资（万元）</w:t>
            </w:r>
          </w:p>
        </w:tc>
        <w:tc>
          <w:tcPr>
            <w:tcW w:w="2261" w:type="dxa"/>
            <w:vAlign w:val="center"/>
          </w:tcPr>
          <w:p w14:paraId="4B5ED6F2">
            <w:pPr>
              <w:jc w:val="center"/>
            </w:pPr>
            <w:r>
              <w:rPr>
                <w:rFonts w:ascii="仿宋_GB2312" w:hAnsi="仿宋"/>
              </w:rPr>
              <w:t>316350</w:t>
            </w:r>
          </w:p>
        </w:tc>
        <w:tc>
          <w:tcPr>
            <w:tcW w:w="1371" w:type="dxa"/>
            <w:vAlign w:val="center"/>
          </w:tcPr>
          <w:p w14:paraId="71F2516D">
            <w:pPr>
              <w:jc w:val="center"/>
            </w:pPr>
            <w:r>
              <w:rPr>
                <w:rFonts w:ascii="仿宋_GB2312" w:hAnsi="仿宋"/>
              </w:rPr>
              <w:t>100.00</w:t>
            </w:r>
          </w:p>
        </w:tc>
        <w:tc>
          <w:tcPr>
            <w:tcW w:w="1243" w:type="dxa"/>
            <w:vAlign w:val="center"/>
          </w:tcPr>
          <w:p w14:paraId="0333E5F9"/>
        </w:tc>
        <w:tc>
          <w:tcPr>
            <w:tcW w:w="737" w:type="dxa"/>
            <w:vAlign w:val="center"/>
          </w:tcPr>
          <w:p w14:paraId="58DBEFA6"/>
        </w:tc>
      </w:tr>
      <w:tr w14:paraId="0BD8844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center"/>
          </w:tcPr>
          <w:p w14:paraId="5C6E44E4">
            <w:r>
              <w:rPr>
                <w:rFonts w:ascii="仿宋_GB2312" w:hAnsi="仿宋"/>
                <w:sz w:val="24"/>
              </w:rPr>
              <w:t>二</w:t>
            </w:r>
          </w:p>
        </w:tc>
        <w:tc>
          <w:tcPr>
            <w:tcW w:w="2768" w:type="dxa"/>
            <w:vAlign w:val="center"/>
          </w:tcPr>
          <w:p w14:paraId="677EA671">
            <w:r>
              <w:rPr>
                <w:rFonts w:ascii="仿宋_GB2312" w:hAnsi="仿宋"/>
                <w:sz w:val="24"/>
              </w:rPr>
              <w:t>静态投资（万元）</w:t>
            </w:r>
          </w:p>
        </w:tc>
        <w:tc>
          <w:tcPr>
            <w:tcW w:w="2261" w:type="dxa"/>
            <w:vAlign w:val="center"/>
          </w:tcPr>
          <w:p w14:paraId="77E1D8C5">
            <w:pPr>
              <w:jc w:val="center"/>
            </w:pPr>
            <w:r>
              <w:rPr>
                <w:rFonts w:ascii="仿宋_GB2312" w:hAnsi="仿宋"/>
              </w:rPr>
              <w:t>297685</w:t>
            </w:r>
          </w:p>
        </w:tc>
        <w:tc>
          <w:tcPr>
            <w:tcW w:w="1371" w:type="dxa"/>
            <w:vAlign w:val="center"/>
          </w:tcPr>
          <w:p w14:paraId="6AEC567F">
            <w:pPr>
              <w:jc w:val="center"/>
            </w:pPr>
            <w:r>
              <w:rPr>
                <w:rFonts w:ascii="仿宋_GB2312" w:hAnsi="仿宋"/>
              </w:rPr>
              <w:t>94.10</w:t>
            </w:r>
          </w:p>
        </w:tc>
        <w:tc>
          <w:tcPr>
            <w:tcW w:w="1243" w:type="dxa"/>
            <w:vAlign w:val="center"/>
          </w:tcPr>
          <w:p w14:paraId="55BC6DEF"/>
        </w:tc>
        <w:tc>
          <w:tcPr>
            <w:tcW w:w="737" w:type="dxa"/>
            <w:vAlign w:val="center"/>
          </w:tcPr>
          <w:p w14:paraId="7D3B403E"/>
        </w:tc>
      </w:tr>
      <w:tr w14:paraId="00508B6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278F6800">
            <w:r>
              <w:rPr>
                <w:rFonts w:ascii="仿宋_GB2312" w:hAnsi="仿宋"/>
                <w:sz w:val="24"/>
              </w:rPr>
              <w:t>三</w:t>
            </w:r>
          </w:p>
        </w:tc>
        <w:tc>
          <w:tcPr>
            <w:tcW w:w="2768" w:type="dxa"/>
            <w:vAlign w:val="center"/>
          </w:tcPr>
          <w:p w14:paraId="33968876">
            <w:r>
              <w:rPr>
                <w:rFonts w:ascii="仿宋_GB2312" w:hAnsi="仿宋"/>
                <w:sz w:val="24"/>
              </w:rPr>
              <w:t>建安工程费（万元）</w:t>
            </w:r>
          </w:p>
        </w:tc>
        <w:tc>
          <w:tcPr>
            <w:tcW w:w="2261" w:type="dxa"/>
            <w:vAlign w:val="center"/>
          </w:tcPr>
          <w:p w14:paraId="10F1C83F">
            <w:pPr>
              <w:jc w:val="center"/>
            </w:pPr>
            <w:r>
              <w:rPr>
                <w:rFonts w:ascii="仿宋_GB2312" w:hAnsi="仿宋"/>
              </w:rPr>
              <w:t>201199</w:t>
            </w:r>
          </w:p>
        </w:tc>
        <w:tc>
          <w:tcPr>
            <w:tcW w:w="1371" w:type="dxa"/>
            <w:vAlign w:val="center"/>
          </w:tcPr>
          <w:p w14:paraId="194DFC4C">
            <w:pPr>
              <w:jc w:val="center"/>
            </w:pPr>
            <w:r>
              <w:rPr>
                <w:rFonts w:ascii="仿宋_GB2312" w:hAnsi="仿宋"/>
              </w:rPr>
              <w:t>63.60</w:t>
            </w:r>
          </w:p>
        </w:tc>
        <w:tc>
          <w:tcPr>
            <w:tcW w:w="1243" w:type="dxa"/>
            <w:vAlign w:val="center"/>
          </w:tcPr>
          <w:p w14:paraId="2F6891C7">
            <w:pPr>
              <w:jc w:val="right"/>
            </w:pPr>
          </w:p>
        </w:tc>
        <w:tc>
          <w:tcPr>
            <w:tcW w:w="737" w:type="dxa"/>
            <w:vAlign w:val="bottom"/>
          </w:tcPr>
          <w:p w14:paraId="313AB308"/>
        </w:tc>
      </w:tr>
      <w:tr w14:paraId="7A9146ED">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192D050B">
            <w:r>
              <w:rPr>
                <w:rFonts w:ascii="仿宋_GB2312" w:hAnsi="仿宋"/>
                <w:sz w:val="24"/>
              </w:rPr>
              <w:t>四</w:t>
            </w:r>
          </w:p>
        </w:tc>
        <w:tc>
          <w:tcPr>
            <w:tcW w:w="2768" w:type="dxa"/>
            <w:vAlign w:val="center"/>
          </w:tcPr>
          <w:p w14:paraId="3C80C846">
            <w:r>
              <w:rPr>
                <w:rFonts w:ascii="仿宋_GB2312" w:hAnsi="仿宋"/>
                <w:sz w:val="24"/>
              </w:rPr>
              <w:t>其它费用（万元）</w:t>
            </w:r>
          </w:p>
        </w:tc>
        <w:tc>
          <w:tcPr>
            <w:tcW w:w="2261" w:type="dxa"/>
            <w:vAlign w:val="center"/>
          </w:tcPr>
          <w:p w14:paraId="1D3D2D3A">
            <w:pPr>
              <w:jc w:val="center"/>
            </w:pPr>
            <w:r>
              <w:rPr>
                <w:rFonts w:ascii="仿宋_GB2312" w:hAnsi="仿宋"/>
              </w:rPr>
              <w:t>57892</w:t>
            </w:r>
          </w:p>
        </w:tc>
        <w:tc>
          <w:tcPr>
            <w:tcW w:w="1371" w:type="dxa"/>
            <w:vAlign w:val="center"/>
          </w:tcPr>
          <w:p w14:paraId="5F17C577">
            <w:pPr>
              <w:jc w:val="center"/>
            </w:pPr>
            <w:r>
              <w:rPr>
                <w:rFonts w:ascii="仿宋_GB2312" w:hAnsi="仿宋"/>
              </w:rPr>
              <w:t>18.30</w:t>
            </w:r>
          </w:p>
        </w:tc>
        <w:tc>
          <w:tcPr>
            <w:tcW w:w="1243" w:type="dxa"/>
            <w:vAlign w:val="center"/>
          </w:tcPr>
          <w:p w14:paraId="05BDD842">
            <w:pPr>
              <w:jc w:val="right"/>
            </w:pPr>
          </w:p>
        </w:tc>
        <w:tc>
          <w:tcPr>
            <w:tcW w:w="737" w:type="dxa"/>
            <w:vAlign w:val="bottom"/>
          </w:tcPr>
          <w:p w14:paraId="1463238A"/>
        </w:tc>
      </w:tr>
      <w:tr w14:paraId="1C0CF173">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0E384B95">
            <w:r>
              <w:rPr>
                <w:rFonts w:ascii="仿宋_GB2312" w:hAnsi="仿宋"/>
                <w:sz w:val="24"/>
              </w:rPr>
              <w:t>五</w:t>
            </w:r>
          </w:p>
        </w:tc>
        <w:tc>
          <w:tcPr>
            <w:tcW w:w="2768" w:type="dxa"/>
            <w:vAlign w:val="center"/>
          </w:tcPr>
          <w:p w14:paraId="14BBA8D9">
            <w:r>
              <w:rPr>
                <w:rFonts w:ascii="仿宋_GB2312" w:hAnsi="仿宋"/>
                <w:sz w:val="24"/>
              </w:rPr>
              <w:t>基本预备费（万元）</w:t>
            </w:r>
          </w:p>
        </w:tc>
        <w:tc>
          <w:tcPr>
            <w:tcW w:w="2261" w:type="dxa"/>
            <w:vAlign w:val="center"/>
          </w:tcPr>
          <w:p w14:paraId="40117DB5">
            <w:pPr>
              <w:jc w:val="center"/>
            </w:pPr>
            <w:r>
              <w:rPr>
                <w:rFonts w:ascii="仿宋_GB2312" w:hAnsi="仿宋"/>
              </w:rPr>
              <w:t>38911</w:t>
            </w:r>
          </w:p>
        </w:tc>
        <w:tc>
          <w:tcPr>
            <w:tcW w:w="1371" w:type="dxa"/>
            <w:vAlign w:val="center"/>
          </w:tcPr>
          <w:p w14:paraId="7EF04A4E">
            <w:pPr>
              <w:jc w:val="center"/>
            </w:pPr>
            <w:r>
              <w:rPr>
                <w:rFonts w:ascii="仿宋_GB2312" w:hAnsi="仿宋"/>
              </w:rPr>
              <w:t>12.30</w:t>
            </w:r>
          </w:p>
        </w:tc>
        <w:tc>
          <w:tcPr>
            <w:tcW w:w="1243" w:type="dxa"/>
            <w:vAlign w:val="center"/>
          </w:tcPr>
          <w:p w14:paraId="7A714CD9">
            <w:pPr>
              <w:jc w:val="right"/>
            </w:pPr>
          </w:p>
        </w:tc>
        <w:tc>
          <w:tcPr>
            <w:tcW w:w="737" w:type="dxa"/>
            <w:vAlign w:val="bottom"/>
          </w:tcPr>
          <w:p w14:paraId="0F059C52"/>
        </w:tc>
      </w:tr>
      <w:tr w14:paraId="0F4DD226">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439E0CA4">
            <w:r>
              <w:rPr>
                <w:rFonts w:ascii="仿宋_GB2312" w:hAnsi="仿宋"/>
                <w:sz w:val="24"/>
              </w:rPr>
              <w:t>六</w:t>
            </w:r>
          </w:p>
        </w:tc>
        <w:tc>
          <w:tcPr>
            <w:tcW w:w="2768" w:type="dxa"/>
            <w:vAlign w:val="center"/>
          </w:tcPr>
          <w:p w14:paraId="084F07EB">
            <w:r>
              <w:rPr>
                <w:rFonts w:ascii="仿宋_GB2312" w:hAnsi="仿宋"/>
                <w:sz w:val="24"/>
              </w:rPr>
              <w:t>建设期利息（万元）</w:t>
            </w:r>
          </w:p>
        </w:tc>
        <w:tc>
          <w:tcPr>
            <w:tcW w:w="2261" w:type="dxa"/>
            <w:vAlign w:val="center"/>
          </w:tcPr>
          <w:p w14:paraId="68706F60">
            <w:pPr>
              <w:jc w:val="center"/>
            </w:pPr>
            <w:r>
              <w:rPr>
                <w:rFonts w:ascii="仿宋_GB2312" w:hAnsi="仿宋"/>
              </w:rPr>
              <w:t>7909</w:t>
            </w:r>
          </w:p>
        </w:tc>
        <w:tc>
          <w:tcPr>
            <w:tcW w:w="1371" w:type="dxa"/>
            <w:vAlign w:val="center"/>
          </w:tcPr>
          <w:p w14:paraId="33CEA56D">
            <w:pPr>
              <w:jc w:val="center"/>
            </w:pPr>
            <w:r>
              <w:rPr>
                <w:rFonts w:ascii="仿宋_GB2312" w:hAnsi="仿宋"/>
              </w:rPr>
              <w:t>2.50</w:t>
            </w:r>
          </w:p>
        </w:tc>
        <w:tc>
          <w:tcPr>
            <w:tcW w:w="1243" w:type="dxa"/>
            <w:vAlign w:val="center"/>
          </w:tcPr>
          <w:p w14:paraId="0171FB0B">
            <w:pPr>
              <w:jc w:val="right"/>
            </w:pPr>
          </w:p>
        </w:tc>
        <w:tc>
          <w:tcPr>
            <w:tcW w:w="737" w:type="dxa"/>
            <w:vAlign w:val="bottom"/>
          </w:tcPr>
          <w:p w14:paraId="26D72460"/>
        </w:tc>
      </w:tr>
      <w:tr w14:paraId="1FA9476B">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570" w:hRule="atLeast"/>
        </w:trPr>
        <w:tc>
          <w:tcPr>
            <w:tcW w:w="736" w:type="dxa"/>
            <w:vAlign w:val="bottom"/>
          </w:tcPr>
          <w:p w14:paraId="463BCBB8">
            <w:r>
              <w:rPr>
                <w:rFonts w:ascii="仿宋_GB2312" w:hAnsi="仿宋"/>
                <w:sz w:val="24"/>
              </w:rPr>
              <w:t>七</w:t>
            </w:r>
          </w:p>
        </w:tc>
        <w:tc>
          <w:tcPr>
            <w:tcW w:w="2768" w:type="dxa"/>
            <w:vAlign w:val="center"/>
          </w:tcPr>
          <w:p w14:paraId="025CE587">
            <w:r>
              <w:rPr>
                <w:rFonts w:ascii="仿宋_GB2312" w:hAnsi="仿宋"/>
                <w:sz w:val="24"/>
              </w:rPr>
              <w:t>铺底流动资金（万元）</w:t>
            </w:r>
          </w:p>
        </w:tc>
        <w:tc>
          <w:tcPr>
            <w:tcW w:w="2261" w:type="dxa"/>
            <w:vAlign w:val="center"/>
          </w:tcPr>
          <w:p w14:paraId="11DB7D39">
            <w:pPr>
              <w:jc w:val="center"/>
            </w:pPr>
            <w:r>
              <w:rPr>
                <w:rFonts w:ascii="仿宋_GB2312" w:hAnsi="仿宋"/>
              </w:rPr>
              <w:t>10756</w:t>
            </w:r>
          </w:p>
        </w:tc>
        <w:tc>
          <w:tcPr>
            <w:tcW w:w="1371" w:type="dxa"/>
            <w:vAlign w:val="center"/>
          </w:tcPr>
          <w:p w14:paraId="17155486">
            <w:pPr>
              <w:jc w:val="center"/>
            </w:pPr>
            <w:r>
              <w:rPr>
                <w:rFonts w:ascii="仿宋_GB2312" w:hAnsi="仿宋"/>
              </w:rPr>
              <w:t>3.40</w:t>
            </w:r>
          </w:p>
        </w:tc>
        <w:tc>
          <w:tcPr>
            <w:tcW w:w="1243" w:type="dxa"/>
            <w:vAlign w:val="center"/>
          </w:tcPr>
          <w:p w14:paraId="1A0C08C2">
            <w:pPr>
              <w:jc w:val="right"/>
            </w:pPr>
          </w:p>
        </w:tc>
        <w:tc>
          <w:tcPr>
            <w:tcW w:w="737" w:type="dxa"/>
            <w:vAlign w:val="bottom"/>
          </w:tcPr>
          <w:p w14:paraId="23212D6E"/>
        </w:tc>
      </w:tr>
    </w:tbl>
    <w:p w14:paraId="75E870CA">
      <w:pPr>
        <w:jc w:val="center"/>
        <w:rPr>
          <w:rFonts w:ascii="仿宋_GB2312" w:hAnsi="仿宋"/>
        </w:rPr>
      </w:pPr>
      <w:r>
        <w:rPr>
          <w:rFonts w:ascii="仿宋_GB2312" w:hAnsi="仿宋"/>
          <w:szCs w:val="21"/>
        </w:rPr>
        <w:t>表8-2</w:t>
      </w:r>
      <w:r>
        <w:rPr>
          <w:rFonts w:ascii="仿宋_GB2312" w:hAnsi="仿宋"/>
          <w:sz w:val="24"/>
        </w:rPr>
        <w:t xml:space="preserve"> 福建省LNG汽车加气站投资估算表</w:t>
      </w:r>
    </w:p>
    <w:p w14:paraId="6CFA9E46">
      <w:pPr>
        <w:rPr>
          <w:rFonts w:ascii="仿宋_GB2312" w:hAnsi="仿宋"/>
        </w:rPr>
      </w:pPr>
    </w:p>
    <w:p w14:paraId="1985F5D6">
      <w:pPr>
        <w:rPr>
          <w:rFonts w:ascii="仿宋_GB2312" w:hAnsi="仿宋"/>
        </w:rPr>
      </w:pPr>
    </w:p>
    <w:p w14:paraId="00C1199A">
      <w:pPr>
        <w:rPr>
          <w:rFonts w:ascii="仿宋_GB2312" w:hAnsi="仿宋"/>
        </w:rPr>
      </w:pPr>
    </w:p>
    <w:p w14:paraId="0EB0CF97">
      <w:r>
        <w:rPr>
          <w:rFonts w:ascii="仿宋_GB2312" w:hAnsi="仿宋"/>
          <w:sz w:val="29"/>
        </w:rPr>
        <w:t>（二）资金筹措</w:t>
      </w:r>
    </w:p>
    <w:p w14:paraId="12C94D1A">
      <w:pPr>
        <w:ind w:firstLine="601"/>
      </w:pPr>
      <w:r>
        <w:rPr>
          <w:rFonts w:ascii="仿宋_GB2312" w:hAnsi="仿宋"/>
          <w:sz w:val="29"/>
        </w:rPr>
        <w:t>●提倡社会资金参与燃气基础设施建设，推行特许经营或者BOT（建设—经营—转让）、BLT（建设—租赁—转让）的经营模式。从财政收入中提取环境保护专项费用</w:t>
      </w:r>
    </w:p>
    <w:p w14:paraId="6A6C6B04">
      <w:pPr>
        <w:ind w:firstLine="601"/>
      </w:pPr>
      <w:r>
        <w:rPr>
          <w:rFonts w:ascii="仿宋_GB2312" w:hAnsi="仿宋"/>
          <w:sz w:val="29"/>
        </w:rPr>
        <w:t>●制定优惠政策，引导社会资金向燃气产业倾斜。开拓新的资金来源，积极探索福建省建设天然气设施的各市镇的财政收入中提取一部分用于燃气基础设施的建设</w:t>
      </w:r>
    </w:p>
    <w:p w14:paraId="45506964">
      <w:pPr>
        <w:ind w:firstLine="601"/>
      </w:pPr>
      <w:r>
        <w:rPr>
          <w:rFonts w:ascii="仿宋_GB2312" w:hAnsi="仿宋"/>
          <w:sz w:val="29"/>
        </w:rPr>
        <w:t>●可由省政府委托相关部门组建燃气技术开发股份有限公司，发行燃气产业股票、债券或设立燃气建设基金，利用优惠的利率政策吸引社会资金。</w:t>
      </w:r>
    </w:p>
    <w:p w14:paraId="4659A788">
      <w:pPr>
        <w:spacing w:line="520" w:lineRule="exact"/>
        <w:ind w:firstLine="548"/>
        <w:sectPr>
          <w:pgSz w:w="11906" w:h="16838"/>
          <w:pgMar w:top="1588" w:right="1418" w:bottom="1418" w:left="1588" w:header="720" w:footer="720" w:gutter="0"/>
          <w:cols w:space="720" w:num="1"/>
        </w:sectPr>
      </w:pPr>
    </w:p>
    <w:p w14:paraId="539A0DD3">
      <w:pPr>
        <w:pStyle w:val="11"/>
        <w:spacing w:before="0" w:after="0" w:line="600" w:lineRule="exact"/>
        <w:jc w:val="center"/>
      </w:pPr>
      <w:r>
        <w:rPr>
          <w:rFonts w:ascii="仿宋_GB2312" w:hAnsi="仿宋"/>
          <w:b/>
          <w:sz w:val="36"/>
          <w:szCs w:val="36"/>
        </w:rPr>
        <w:t>第九章  实施计划</w:t>
      </w:r>
    </w:p>
    <w:p w14:paraId="073DB3B7">
      <w:pPr>
        <w:spacing w:line="600" w:lineRule="exact"/>
        <w:rPr>
          <w:rFonts w:ascii="仿宋_GB2312" w:hAnsi="仿宋"/>
          <w:sz w:val="29"/>
          <w:shd w:val="clear" w:fill="A6A6A6"/>
        </w:rPr>
      </w:pPr>
    </w:p>
    <w:p w14:paraId="1A25E43F">
      <w:pPr>
        <w:ind w:firstLine="601"/>
      </w:pPr>
      <w:r>
        <w:rPr>
          <w:rFonts w:ascii="仿宋_GB2312" w:hAnsi="仿宋"/>
          <w:sz w:val="29"/>
        </w:rPr>
        <w:t>按照《海峡西岸经济区天然气管网建设规划》，宁德LNG接收站（规模为260万吨/年）项目，计划2012年开工建设，2014年建成投产；2011-2012年建设福州～宁德～福鼎供气干线、福州～三明供气干线、漳州～龙岩供气干线和泉港供气支线。合计建设管线633公里；2013-2015年建设漳州～诏安、龙岩～长汀、三明～龙岩供气干线，泉州～德化、福清～平潭综合实验区、宁德～霞浦供气支线。合计建设管线810公里。</w:t>
      </w:r>
    </w:p>
    <w:p w14:paraId="1528E4A5">
      <w:pPr>
        <w:ind w:firstLine="601"/>
      </w:pPr>
      <w:r>
        <w:rPr>
          <w:rFonts w:ascii="仿宋_GB2312" w:hAnsi="仿宋"/>
          <w:sz w:val="29"/>
        </w:rPr>
        <w:t>在尚不具备条件敷设管道的县市采用修建LNG气化站方式供气。2011-2012年规划新建LNG气化站28座。2013-2015年规划新建LNG气化站17座，扩建LNG气化站30座。</w:t>
      </w:r>
    </w:p>
    <w:p w14:paraId="5942EB61">
      <w:pPr>
        <w:ind w:firstLine="601"/>
      </w:pPr>
      <w:r>
        <w:rPr>
          <w:rFonts w:ascii="仿宋_GB2312" w:hAnsi="仿宋"/>
          <w:sz w:val="29"/>
        </w:rPr>
        <w:t>2011-2015年福建省九个地市、平潭综合实验区及所辖市县共建设LNG汽车加气站203座。</w:t>
      </w:r>
    </w:p>
    <w:p w14:paraId="0BD3644B">
      <w:pPr>
        <w:ind w:firstLine="601"/>
      </w:pPr>
      <w:r>
        <w:rPr>
          <w:rFonts w:ascii="仿宋_GB2312" w:hAnsi="仿宋"/>
          <w:sz w:val="29"/>
        </w:rPr>
        <w:t>福建省“十二五”期间，LNG气化站和汽车加气站等燃气基础设施建设总投资为414692万元，在“十二五”期间其分年度投资计划安排见表9-1</w:t>
      </w:r>
    </w:p>
    <w:p w14:paraId="52664254">
      <w:pPr>
        <w:ind w:firstLine="601"/>
        <w:rPr>
          <w:rFonts w:ascii="仿宋_GB2312" w:hAnsi="仿宋"/>
          <w:sz w:val="29"/>
        </w:rPr>
      </w:pPr>
    </w:p>
    <w:p w14:paraId="74B157EA">
      <w:pPr>
        <w:ind w:firstLine="1440"/>
      </w:pPr>
      <w:r>
        <w:rPr>
          <w:rFonts w:ascii="仿宋_GB2312" w:hAnsi="仿宋"/>
          <w:sz w:val="24"/>
        </w:rPr>
        <w:t xml:space="preserve">（2011-2015年）燃气规划项目投资计划表 </w:t>
      </w:r>
      <w:r>
        <w:rPr>
          <w:rFonts w:ascii="仿宋_GB2312" w:hAnsi="仿宋"/>
        </w:rPr>
        <w:t xml:space="preserve">                   </w:t>
      </w:r>
      <w:r>
        <w:rPr>
          <w:rFonts w:ascii="仿宋_GB2312" w:hAnsi="仿宋"/>
          <w:szCs w:val="21"/>
        </w:rPr>
        <w:t>表9-1</w:t>
      </w:r>
    </w:p>
    <w:tbl>
      <w:tblPr>
        <w:tblStyle w:val="14"/>
        <w:tblW w:w="0" w:type="auto"/>
        <w:tblInd w:w="-108"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autofit"/>
        <w:tblCellMar>
          <w:top w:w="0" w:type="dxa"/>
          <w:left w:w="108" w:type="dxa"/>
          <w:bottom w:w="0" w:type="dxa"/>
          <w:right w:w="108" w:type="dxa"/>
        </w:tblCellMar>
      </w:tblPr>
      <w:tblGrid>
        <w:gridCol w:w="719"/>
        <w:gridCol w:w="2060"/>
        <w:gridCol w:w="978"/>
        <w:gridCol w:w="978"/>
        <w:gridCol w:w="1073"/>
        <w:gridCol w:w="1311"/>
        <w:gridCol w:w="1018"/>
        <w:gridCol w:w="979"/>
      </w:tblGrid>
      <w:tr w14:paraId="24601E8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719" w:type="dxa"/>
            <w:vAlign w:val="center"/>
          </w:tcPr>
          <w:p w14:paraId="6D718988">
            <w:pPr>
              <w:ind w:left="-69" w:firstLine="50"/>
            </w:pPr>
            <w:r>
              <w:rPr>
                <w:rFonts w:ascii="仿宋_GB2312" w:hAnsi="仿宋"/>
                <w:sz w:val="24"/>
              </w:rPr>
              <w:t>序号</w:t>
            </w:r>
          </w:p>
        </w:tc>
        <w:tc>
          <w:tcPr>
            <w:tcW w:w="2060" w:type="dxa"/>
            <w:vAlign w:val="center"/>
          </w:tcPr>
          <w:p w14:paraId="65949EC1">
            <w:pPr>
              <w:ind w:left="-69" w:firstLine="50"/>
            </w:pPr>
            <w:r>
              <w:rPr>
                <w:rFonts w:ascii="仿宋_GB2312" w:hAnsi="仿宋"/>
                <w:sz w:val="24"/>
              </w:rPr>
              <w:t>项目名称</w:t>
            </w:r>
          </w:p>
        </w:tc>
        <w:tc>
          <w:tcPr>
            <w:tcW w:w="978" w:type="dxa"/>
            <w:vAlign w:val="center"/>
          </w:tcPr>
          <w:p w14:paraId="1022D815">
            <w:pPr>
              <w:ind w:left="-69" w:firstLine="50"/>
              <w:jc w:val="center"/>
            </w:pPr>
            <w:r>
              <w:rPr>
                <w:rFonts w:ascii="仿宋_GB2312" w:hAnsi="仿宋"/>
                <w:sz w:val="24"/>
              </w:rPr>
              <w:t>2011年</w:t>
            </w:r>
          </w:p>
        </w:tc>
        <w:tc>
          <w:tcPr>
            <w:tcW w:w="978" w:type="dxa"/>
            <w:vAlign w:val="center"/>
          </w:tcPr>
          <w:p w14:paraId="7539A63D">
            <w:pPr>
              <w:ind w:left="-69" w:firstLine="50"/>
              <w:jc w:val="center"/>
            </w:pPr>
            <w:r>
              <w:rPr>
                <w:rFonts w:ascii="仿宋_GB2312" w:hAnsi="仿宋"/>
                <w:sz w:val="24"/>
              </w:rPr>
              <w:t>2012年</w:t>
            </w:r>
          </w:p>
        </w:tc>
        <w:tc>
          <w:tcPr>
            <w:tcW w:w="1073" w:type="dxa"/>
            <w:vAlign w:val="center"/>
          </w:tcPr>
          <w:p w14:paraId="6F80A4E1">
            <w:pPr>
              <w:ind w:left="-69" w:firstLine="50"/>
              <w:jc w:val="center"/>
            </w:pPr>
            <w:r>
              <w:rPr>
                <w:rFonts w:ascii="仿宋_GB2312" w:hAnsi="仿宋"/>
                <w:sz w:val="24"/>
              </w:rPr>
              <w:t>2013年</w:t>
            </w:r>
          </w:p>
        </w:tc>
        <w:tc>
          <w:tcPr>
            <w:tcW w:w="1311" w:type="dxa"/>
            <w:vAlign w:val="center"/>
          </w:tcPr>
          <w:p w14:paraId="3BCC9B1D">
            <w:pPr>
              <w:ind w:left="-69" w:firstLine="50"/>
              <w:jc w:val="center"/>
            </w:pPr>
            <w:r>
              <w:rPr>
                <w:rFonts w:ascii="仿宋_GB2312" w:hAnsi="仿宋"/>
                <w:sz w:val="24"/>
              </w:rPr>
              <w:t>2014年</w:t>
            </w:r>
          </w:p>
        </w:tc>
        <w:tc>
          <w:tcPr>
            <w:tcW w:w="1018" w:type="dxa"/>
            <w:vAlign w:val="center"/>
          </w:tcPr>
          <w:p w14:paraId="56D2FBB7">
            <w:pPr>
              <w:ind w:left="-69" w:firstLine="50"/>
              <w:jc w:val="center"/>
            </w:pPr>
            <w:r>
              <w:rPr>
                <w:rFonts w:ascii="仿宋_GB2312" w:hAnsi="仿宋"/>
                <w:sz w:val="24"/>
              </w:rPr>
              <w:t>2015年</w:t>
            </w:r>
          </w:p>
        </w:tc>
        <w:tc>
          <w:tcPr>
            <w:tcW w:w="979" w:type="dxa"/>
            <w:vAlign w:val="center"/>
          </w:tcPr>
          <w:p w14:paraId="4E42FF04">
            <w:pPr>
              <w:ind w:left="-69" w:firstLine="50"/>
              <w:jc w:val="center"/>
            </w:pPr>
            <w:r>
              <w:rPr>
                <w:rFonts w:ascii="仿宋_GB2312" w:hAnsi="仿宋"/>
                <w:sz w:val="24"/>
              </w:rPr>
              <w:t>小计</w:t>
            </w:r>
          </w:p>
        </w:tc>
      </w:tr>
      <w:tr w14:paraId="22B08DA2">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719" w:type="dxa"/>
            <w:vAlign w:val="center"/>
          </w:tcPr>
          <w:p w14:paraId="695F248D">
            <w:pPr>
              <w:ind w:left="-69" w:firstLine="50"/>
              <w:jc w:val="center"/>
            </w:pPr>
            <w:r>
              <w:rPr>
                <w:rFonts w:ascii="仿宋_GB2312" w:hAnsi="仿宋"/>
                <w:sz w:val="24"/>
              </w:rPr>
              <w:t>1</w:t>
            </w:r>
          </w:p>
        </w:tc>
        <w:tc>
          <w:tcPr>
            <w:tcW w:w="2060" w:type="dxa"/>
            <w:vAlign w:val="center"/>
          </w:tcPr>
          <w:p w14:paraId="578C421F">
            <w:pPr>
              <w:ind w:left="-69" w:firstLine="50"/>
            </w:pPr>
            <w:r>
              <w:rPr>
                <w:rFonts w:ascii="仿宋_GB2312" w:hAnsi="仿宋"/>
                <w:sz w:val="24"/>
              </w:rPr>
              <w:t>LNG气化站</w:t>
            </w:r>
          </w:p>
        </w:tc>
        <w:tc>
          <w:tcPr>
            <w:tcW w:w="978" w:type="dxa"/>
            <w:vAlign w:val="center"/>
          </w:tcPr>
          <w:p w14:paraId="1526A398">
            <w:pPr>
              <w:ind w:left="-69" w:firstLine="50"/>
              <w:jc w:val="center"/>
            </w:pPr>
            <w:r>
              <w:rPr>
                <w:rFonts w:ascii="仿宋_GB2312" w:hAnsi="仿宋"/>
                <w:sz w:val="24"/>
              </w:rPr>
              <w:t>16360</w:t>
            </w:r>
          </w:p>
        </w:tc>
        <w:tc>
          <w:tcPr>
            <w:tcW w:w="978" w:type="dxa"/>
            <w:vAlign w:val="center"/>
          </w:tcPr>
          <w:p w14:paraId="6DFFE146">
            <w:pPr>
              <w:ind w:left="-69" w:firstLine="50"/>
              <w:jc w:val="center"/>
            </w:pPr>
            <w:r>
              <w:rPr>
                <w:rFonts w:ascii="仿宋_GB2312" w:hAnsi="仿宋"/>
                <w:sz w:val="24"/>
              </w:rPr>
              <w:t>29449</w:t>
            </w:r>
          </w:p>
        </w:tc>
        <w:tc>
          <w:tcPr>
            <w:tcW w:w="1073" w:type="dxa"/>
            <w:vAlign w:val="center"/>
          </w:tcPr>
          <w:p w14:paraId="02436AA0">
            <w:pPr>
              <w:ind w:left="-69" w:firstLine="50"/>
              <w:jc w:val="center"/>
            </w:pPr>
            <w:r>
              <w:rPr>
                <w:rFonts w:ascii="仿宋_GB2312" w:hAnsi="仿宋"/>
                <w:sz w:val="24"/>
              </w:rPr>
              <w:t>24540</w:t>
            </w:r>
          </w:p>
        </w:tc>
        <w:tc>
          <w:tcPr>
            <w:tcW w:w="1311" w:type="dxa"/>
            <w:vAlign w:val="center"/>
          </w:tcPr>
          <w:p w14:paraId="782D4128">
            <w:pPr>
              <w:ind w:left="-69" w:firstLine="50"/>
              <w:jc w:val="center"/>
            </w:pPr>
            <w:r>
              <w:rPr>
                <w:rFonts w:ascii="仿宋_GB2312" w:hAnsi="仿宋"/>
                <w:sz w:val="24"/>
              </w:rPr>
              <w:t>19632</w:t>
            </w:r>
          </w:p>
        </w:tc>
        <w:tc>
          <w:tcPr>
            <w:tcW w:w="1018" w:type="dxa"/>
            <w:vAlign w:val="center"/>
          </w:tcPr>
          <w:p w14:paraId="793BF2ED">
            <w:pPr>
              <w:ind w:left="-69" w:firstLine="50"/>
              <w:jc w:val="center"/>
            </w:pPr>
            <w:r>
              <w:rPr>
                <w:rFonts w:ascii="仿宋_GB2312" w:hAnsi="仿宋"/>
                <w:sz w:val="24"/>
              </w:rPr>
              <w:t>8180</w:t>
            </w:r>
          </w:p>
        </w:tc>
        <w:tc>
          <w:tcPr>
            <w:tcW w:w="979" w:type="dxa"/>
            <w:vAlign w:val="center"/>
          </w:tcPr>
          <w:p w14:paraId="27ED3690">
            <w:pPr>
              <w:ind w:left="-69" w:firstLine="50"/>
              <w:jc w:val="center"/>
            </w:pPr>
            <w:r>
              <w:rPr>
                <w:rFonts w:ascii="仿宋_GB2312" w:hAnsi="仿宋"/>
                <w:sz w:val="24"/>
              </w:rPr>
              <w:t>98162</w:t>
            </w:r>
          </w:p>
        </w:tc>
      </w:tr>
      <w:tr w14:paraId="36A81D2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719" w:type="dxa"/>
            <w:vAlign w:val="center"/>
          </w:tcPr>
          <w:p w14:paraId="4D5A8A33">
            <w:pPr>
              <w:ind w:left="-69" w:firstLine="50"/>
              <w:jc w:val="center"/>
            </w:pPr>
            <w:r>
              <w:rPr>
                <w:rFonts w:ascii="仿宋_GB2312" w:hAnsi="仿宋"/>
                <w:sz w:val="24"/>
              </w:rPr>
              <w:t>2</w:t>
            </w:r>
          </w:p>
        </w:tc>
        <w:tc>
          <w:tcPr>
            <w:tcW w:w="2060" w:type="dxa"/>
            <w:vAlign w:val="center"/>
          </w:tcPr>
          <w:p w14:paraId="343ECE42">
            <w:pPr>
              <w:ind w:left="-69" w:firstLine="50"/>
            </w:pPr>
            <w:r>
              <w:rPr>
                <w:rFonts w:ascii="仿宋_GB2312" w:hAnsi="仿宋"/>
                <w:sz w:val="24"/>
              </w:rPr>
              <w:t>LNG汽车加气站</w:t>
            </w:r>
          </w:p>
        </w:tc>
        <w:tc>
          <w:tcPr>
            <w:tcW w:w="978" w:type="dxa"/>
            <w:vAlign w:val="center"/>
          </w:tcPr>
          <w:p w14:paraId="17134517">
            <w:pPr>
              <w:ind w:left="-69" w:firstLine="50"/>
              <w:jc w:val="center"/>
            </w:pPr>
            <w:r>
              <w:rPr>
                <w:rFonts w:ascii="仿宋_GB2312" w:hAnsi="仿宋"/>
                <w:sz w:val="24"/>
              </w:rPr>
              <w:t>31635</w:t>
            </w:r>
          </w:p>
        </w:tc>
        <w:tc>
          <w:tcPr>
            <w:tcW w:w="978" w:type="dxa"/>
            <w:vAlign w:val="center"/>
          </w:tcPr>
          <w:p w14:paraId="3F9F0B9D">
            <w:pPr>
              <w:ind w:left="-69" w:firstLine="50"/>
              <w:jc w:val="center"/>
            </w:pPr>
            <w:r>
              <w:rPr>
                <w:rFonts w:ascii="仿宋_GB2312" w:hAnsi="仿宋"/>
                <w:sz w:val="24"/>
              </w:rPr>
              <w:t>63270</w:t>
            </w:r>
          </w:p>
        </w:tc>
        <w:tc>
          <w:tcPr>
            <w:tcW w:w="1073" w:type="dxa"/>
            <w:vAlign w:val="center"/>
          </w:tcPr>
          <w:p w14:paraId="171C6FDC">
            <w:pPr>
              <w:ind w:left="-69" w:firstLine="50"/>
              <w:jc w:val="center"/>
            </w:pPr>
            <w:r>
              <w:rPr>
                <w:rFonts w:ascii="仿宋_GB2312" w:hAnsi="仿宋"/>
                <w:sz w:val="24"/>
              </w:rPr>
              <w:t>126540</w:t>
            </w:r>
          </w:p>
        </w:tc>
        <w:tc>
          <w:tcPr>
            <w:tcW w:w="1311" w:type="dxa"/>
            <w:vAlign w:val="center"/>
          </w:tcPr>
          <w:p w14:paraId="7C8F87F1">
            <w:pPr>
              <w:ind w:left="-69" w:firstLine="50"/>
              <w:jc w:val="center"/>
            </w:pPr>
            <w:r>
              <w:rPr>
                <w:rFonts w:ascii="仿宋_GB2312" w:hAnsi="仿宋"/>
                <w:sz w:val="24"/>
              </w:rPr>
              <w:t>63270</w:t>
            </w:r>
          </w:p>
        </w:tc>
        <w:tc>
          <w:tcPr>
            <w:tcW w:w="1018" w:type="dxa"/>
            <w:vAlign w:val="center"/>
          </w:tcPr>
          <w:p w14:paraId="6F042D15">
            <w:pPr>
              <w:ind w:left="-69" w:firstLine="50"/>
              <w:jc w:val="center"/>
            </w:pPr>
            <w:r>
              <w:rPr>
                <w:rFonts w:ascii="仿宋_GB2312" w:hAnsi="仿宋"/>
                <w:sz w:val="24"/>
              </w:rPr>
              <w:t>31635</w:t>
            </w:r>
          </w:p>
        </w:tc>
        <w:tc>
          <w:tcPr>
            <w:tcW w:w="979" w:type="dxa"/>
            <w:vAlign w:val="center"/>
          </w:tcPr>
          <w:p w14:paraId="415C393C">
            <w:pPr>
              <w:ind w:left="-69" w:firstLine="50"/>
              <w:jc w:val="center"/>
            </w:pPr>
            <w:r>
              <w:rPr>
                <w:rFonts w:ascii="仿宋_GB2312" w:hAnsi="仿宋"/>
                <w:sz w:val="24"/>
              </w:rPr>
              <w:t>316350</w:t>
            </w:r>
          </w:p>
        </w:tc>
      </w:tr>
      <w:tr w14:paraId="5DBE770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719" w:type="dxa"/>
            <w:vAlign w:val="center"/>
          </w:tcPr>
          <w:p w14:paraId="2868DC0F">
            <w:pPr>
              <w:ind w:left="-69" w:firstLine="50"/>
              <w:jc w:val="center"/>
            </w:pPr>
            <w:r>
              <w:rPr>
                <w:rFonts w:ascii="仿宋_GB2312" w:hAnsi="仿宋"/>
                <w:sz w:val="24"/>
              </w:rPr>
              <w:t>3</w:t>
            </w:r>
          </w:p>
        </w:tc>
        <w:tc>
          <w:tcPr>
            <w:tcW w:w="2060" w:type="dxa"/>
            <w:vAlign w:val="center"/>
          </w:tcPr>
          <w:p w14:paraId="7D887F1E">
            <w:pPr>
              <w:ind w:left="-69" w:firstLine="50"/>
            </w:pPr>
            <w:r>
              <w:rPr>
                <w:rFonts w:ascii="仿宋_GB2312" w:hAnsi="仿宋"/>
                <w:sz w:val="24"/>
              </w:rPr>
              <w:t>合计（万元）</w:t>
            </w:r>
          </w:p>
        </w:tc>
        <w:tc>
          <w:tcPr>
            <w:tcW w:w="978" w:type="dxa"/>
            <w:vAlign w:val="center"/>
          </w:tcPr>
          <w:p w14:paraId="08247A54">
            <w:pPr>
              <w:ind w:left="-69" w:firstLine="50"/>
              <w:jc w:val="center"/>
            </w:pPr>
            <w:r>
              <w:rPr>
                <w:rFonts w:ascii="仿宋_GB2312" w:hAnsi="仿宋"/>
                <w:sz w:val="24"/>
              </w:rPr>
              <w:t>47995</w:t>
            </w:r>
          </w:p>
        </w:tc>
        <w:tc>
          <w:tcPr>
            <w:tcW w:w="978" w:type="dxa"/>
            <w:vAlign w:val="center"/>
          </w:tcPr>
          <w:p w14:paraId="77B6DA88">
            <w:pPr>
              <w:ind w:left="-69" w:firstLine="50"/>
              <w:jc w:val="center"/>
            </w:pPr>
            <w:r>
              <w:rPr>
                <w:rFonts w:ascii="仿宋_GB2312" w:hAnsi="仿宋"/>
                <w:sz w:val="24"/>
              </w:rPr>
              <w:t>92719</w:t>
            </w:r>
          </w:p>
        </w:tc>
        <w:tc>
          <w:tcPr>
            <w:tcW w:w="1073" w:type="dxa"/>
            <w:vAlign w:val="center"/>
          </w:tcPr>
          <w:p w14:paraId="2BA6358A">
            <w:pPr>
              <w:ind w:left="-69" w:firstLine="50"/>
              <w:jc w:val="center"/>
            </w:pPr>
            <w:r>
              <w:rPr>
                <w:rFonts w:ascii="仿宋_GB2312" w:hAnsi="仿宋"/>
                <w:sz w:val="24"/>
              </w:rPr>
              <w:t>151080</w:t>
            </w:r>
          </w:p>
        </w:tc>
        <w:tc>
          <w:tcPr>
            <w:tcW w:w="1311" w:type="dxa"/>
            <w:vAlign w:val="center"/>
          </w:tcPr>
          <w:p w14:paraId="57A3FDF7">
            <w:pPr>
              <w:ind w:left="-69" w:firstLine="50"/>
              <w:jc w:val="center"/>
            </w:pPr>
            <w:r>
              <w:rPr>
                <w:rFonts w:ascii="仿宋_GB2312" w:hAnsi="仿宋"/>
                <w:sz w:val="24"/>
              </w:rPr>
              <w:t>82902</w:t>
            </w:r>
          </w:p>
        </w:tc>
        <w:tc>
          <w:tcPr>
            <w:tcW w:w="1018" w:type="dxa"/>
            <w:vAlign w:val="center"/>
          </w:tcPr>
          <w:p w14:paraId="49CC7D86">
            <w:pPr>
              <w:ind w:left="-69" w:firstLine="50"/>
              <w:jc w:val="center"/>
            </w:pPr>
            <w:r>
              <w:rPr>
                <w:rFonts w:ascii="仿宋_GB2312" w:hAnsi="仿宋"/>
                <w:sz w:val="24"/>
              </w:rPr>
              <w:t>39815</w:t>
            </w:r>
          </w:p>
        </w:tc>
        <w:tc>
          <w:tcPr>
            <w:tcW w:w="979" w:type="dxa"/>
            <w:vAlign w:val="center"/>
          </w:tcPr>
          <w:p w14:paraId="51E5CAAE">
            <w:pPr>
              <w:ind w:left="-69" w:firstLine="50"/>
              <w:jc w:val="center"/>
            </w:pPr>
            <w:r>
              <w:rPr>
                <w:rFonts w:ascii="仿宋_GB2312" w:hAnsi="仿宋"/>
                <w:sz w:val="24"/>
              </w:rPr>
              <w:t>414512</w:t>
            </w:r>
          </w:p>
        </w:tc>
      </w:tr>
    </w:tbl>
    <w:p w14:paraId="2B3BD00B">
      <w:pPr>
        <w:spacing w:line="520" w:lineRule="exact"/>
        <w:ind w:firstLine="548"/>
        <w:rPr>
          <w:rFonts w:ascii="仿宋_GB2312" w:hAnsi="仿宋"/>
          <w:sz w:val="29"/>
        </w:rPr>
      </w:pPr>
    </w:p>
    <w:p w14:paraId="3189A95E">
      <w:pPr>
        <w:spacing w:line="520" w:lineRule="exact"/>
        <w:ind w:firstLine="548"/>
        <w:sectPr>
          <w:pgSz w:w="11906" w:h="16838"/>
          <w:pgMar w:top="1588" w:right="1418" w:bottom="1418" w:left="1588" w:header="720" w:footer="720" w:gutter="0"/>
          <w:cols w:space="720" w:num="1"/>
        </w:sectPr>
      </w:pPr>
    </w:p>
    <w:p w14:paraId="7720E834">
      <w:pPr>
        <w:pStyle w:val="11"/>
        <w:spacing w:before="0" w:after="0" w:line="600" w:lineRule="exact"/>
        <w:jc w:val="center"/>
      </w:pPr>
      <w:r>
        <w:rPr>
          <w:rFonts w:ascii="仿宋_GB2312" w:hAnsi="仿宋"/>
          <w:b/>
          <w:sz w:val="36"/>
          <w:szCs w:val="36"/>
        </w:rPr>
        <w:t>第十章  环境保护</w:t>
      </w:r>
    </w:p>
    <w:p w14:paraId="68205474">
      <w:r>
        <w:rPr>
          <w:rFonts w:ascii="仿宋_GB2312" w:hAnsi="仿宋"/>
          <w:sz w:val="29"/>
        </w:rPr>
        <w:t>（一）环境影响总体分析</w:t>
      </w:r>
    </w:p>
    <w:p w14:paraId="2CC8DD7D">
      <w:pPr>
        <w:ind w:firstLine="601"/>
      </w:pPr>
      <w:r>
        <w:rPr>
          <w:rFonts w:ascii="仿宋_GB2312" w:hAnsi="仿宋"/>
          <w:sz w:val="29"/>
        </w:rPr>
        <w:t>LNG主要成份是甲烷，纯度高，在低温液化过程中已经脱除S、CO</w:t>
      </w:r>
      <w:r>
        <w:rPr>
          <w:rFonts w:ascii="仿宋_GB2312" w:hAnsi="仿宋"/>
          <w:sz w:val="29"/>
          <w:szCs w:val="29"/>
          <w:vertAlign w:val="subscript"/>
        </w:rPr>
        <w:t>2</w:t>
      </w:r>
      <w:r>
        <w:rPr>
          <w:rFonts w:ascii="仿宋_GB2312" w:hAnsi="仿宋"/>
          <w:sz w:val="29"/>
        </w:rPr>
        <w:t>和其它有害杂质，氮和惰性气体He也得到严格控制。而各类商品油，尤其重油是由各种烃类组成的一种复杂混合物，含有少量的硫、氮、氧等有机化合物及微量金属，碳氢比比LNG高得多。LNG燃烧后的CO</w:t>
      </w:r>
      <w:r>
        <w:rPr>
          <w:rFonts w:ascii="仿宋_GB2312" w:hAnsi="仿宋"/>
          <w:sz w:val="29"/>
          <w:szCs w:val="29"/>
          <w:vertAlign w:val="subscript"/>
        </w:rPr>
        <w:t>2</w:t>
      </w:r>
      <w:r>
        <w:rPr>
          <w:rFonts w:ascii="仿宋_GB2312" w:hAnsi="仿宋"/>
          <w:sz w:val="29"/>
        </w:rPr>
        <w:t>排放量远低于其它燃料，其比值是——LNG:石油:煤=1:1.4:2，燃烧后废气中的SO</w:t>
      </w:r>
      <w:r>
        <w:rPr>
          <w:rFonts w:ascii="仿宋_GB2312" w:hAnsi="仿宋"/>
          <w:sz w:val="29"/>
          <w:szCs w:val="29"/>
          <w:vertAlign w:val="subscript"/>
        </w:rPr>
        <w:t>2</w:t>
      </w:r>
      <w:r>
        <w:rPr>
          <w:rFonts w:ascii="仿宋_GB2312" w:hAnsi="仿宋"/>
          <w:sz w:val="29"/>
        </w:rPr>
        <w:t>、NO</w:t>
      </w:r>
      <w:r>
        <w:rPr>
          <w:rFonts w:ascii="仿宋_GB2312" w:hAnsi="仿宋"/>
          <w:sz w:val="29"/>
          <w:szCs w:val="29"/>
          <w:vertAlign w:val="subscript"/>
        </w:rPr>
        <w:t>x</w:t>
      </w:r>
      <w:r>
        <w:rPr>
          <w:rFonts w:ascii="仿宋_GB2312" w:hAnsi="仿宋"/>
          <w:sz w:val="29"/>
        </w:rPr>
        <w:t>含量也远低于其它燃料（燃气电厂NO</w:t>
      </w:r>
      <w:r>
        <w:rPr>
          <w:rFonts w:ascii="仿宋_GB2312" w:hAnsi="仿宋"/>
          <w:sz w:val="29"/>
          <w:szCs w:val="29"/>
          <w:vertAlign w:val="subscript"/>
        </w:rPr>
        <w:t>x</w:t>
      </w:r>
      <w:r>
        <w:rPr>
          <w:rFonts w:ascii="仿宋_GB2312" w:hAnsi="仿宋"/>
          <w:sz w:val="29"/>
        </w:rPr>
        <w:t>排放量仅为燃煤电厂的20%左右）。因此，福建省利用海港优势大量引进LNG作为能源使用，可减少了该地区煤炭、石油的消耗量，减少SO</w:t>
      </w:r>
      <w:r>
        <w:rPr>
          <w:rFonts w:ascii="仿宋_GB2312" w:hAnsi="仿宋"/>
          <w:sz w:val="29"/>
          <w:szCs w:val="29"/>
          <w:vertAlign w:val="subscript"/>
        </w:rPr>
        <w:t>2</w:t>
      </w:r>
      <w:r>
        <w:rPr>
          <w:rFonts w:ascii="仿宋_GB2312" w:hAnsi="仿宋"/>
          <w:sz w:val="29"/>
        </w:rPr>
        <w:t>的排放量，防止酸雨发生，能控制大气污染，有效改善生态环境，将对福建省环境的改善作出重大贡献。</w:t>
      </w:r>
    </w:p>
    <w:p w14:paraId="2453887A">
      <w:pPr>
        <w:ind w:firstLine="601"/>
      </w:pPr>
      <w:r>
        <w:rPr>
          <w:rFonts w:ascii="仿宋_GB2312" w:hAnsi="仿宋"/>
          <w:sz w:val="29"/>
        </w:rPr>
        <w:t>天然气作为一种发电能源，和传统的煤电相比，可产生如下环境效益：</w:t>
      </w:r>
    </w:p>
    <w:p w14:paraId="29C1E848">
      <w:pPr>
        <w:ind w:firstLine="548"/>
      </w:pPr>
      <w:r>
        <w:rPr>
          <w:rFonts w:ascii="仿宋_GB2312" w:hAnsi="仿宋"/>
          <w:sz w:val="29"/>
        </w:rPr>
        <w:t>1、海峡西岸经济区天然气管网建成后管线供气能力将达1000万吨/年，其中205万吨LNG用于发电，将产生482万吨的CO</w:t>
      </w:r>
      <w:r>
        <w:rPr>
          <w:rFonts w:ascii="仿宋_GB2312" w:hAnsi="仿宋"/>
          <w:sz w:val="29"/>
          <w:szCs w:val="29"/>
          <w:vertAlign w:val="subscript"/>
        </w:rPr>
        <w:t>2</w:t>
      </w:r>
      <w:r>
        <w:rPr>
          <w:rFonts w:ascii="仿宋_GB2312" w:hAnsi="仿宋"/>
          <w:sz w:val="29"/>
        </w:rPr>
        <w:t>，而燃用褐煤生产等量的电力将产生870万吨CO</w:t>
      </w:r>
      <w:r>
        <w:rPr>
          <w:rFonts w:ascii="仿宋_GB2312" w:hAnsi="仿宋"/>
          <w:sz w:val="29"/>
          <w:szCs w:val="29"/>
          <w:vertAlign w:val="subscript"/>
        </w:rPr>
        <w:t>2</w:t>
      </w:r>
      <w:r>
        <w:rPr>
          <w:rFonts w:ascii="仿宋_GB2312" w:hAnsi="仿宋"/>
          <w:sz w:val="29"/>
        </w:rPr>
        <w:t>，每年气电将减排CO</w:t>
      </w:r>
      <w:r>
        <w:rPr>
          <w:rFonts w:ascii="仿宋_GB2312" w:hAnsi="仿宋"/>
          <w:sz w:val="29"/>
          <w:szCs w:val="29"/>
          <w:vertAlign w:val="subscript"/>
        </w:rPr>
        <w:t>2</w:t>
      </w:r>
      <w:r>
        <w:rPr>
          <w:rFonts w:ascii="仿宋_GB2312" w:hAnsi="仿宋"/>
          <w:sz w:val="29"/>
        </w:rPr>
        <w:t xml:space="preserve"> 388万吨。与高硫煤电相比，每年将减排SO</w:t>
      </w:r>
      <w:r>
        <w:rPr>
          <w:rFonts w:ascii="仿宋_GB2312" w:hAnsi="仿宋"/>
          <w:sz w:val="29"/>
          <w:szCs w:val="29"/>
          <w:vertAlign w:val="subscript"/>
        </w:rPr>
        <w:t>2</w:t>
      </w:r>
      <w:r>
        <w:rPr>
          <w:rFonts w:ascii="仿宋_GB2312" w:hAnsi="仿宋"/>
          <w:sz w:val="29"/>
        </w:rPr>
        <w:t xml:space="preserve"> 37万吨；减排NO</w:t>
      </w:r>
      <w:r>
        <w:rPr>
          <w:rFonts w:ascii="仿宋_GB2312" w:hAnsi="仿宋"/>
          <w:sz w:val="29"/>
          <w:szCs w:val="29"/>
          <w:vertAlign w:val="subscript"/>
        </w:rPr>
        <w:t>2</w:t>
      </w:r>
      <w:r>
        <w:rPr>
          <w:rFonts w:ascii="仿宋_GB2312" w:hAnsi="仿宋"/>
          <w:sz w:val="29"/>
        </w:rPr>
        <w:t xml:space="preserve"> 7万吨。</w:t>
      </w:r>
    </w:p>
    <w:p w14:paraId="4A481F9A">
      <w:pPr>
        <w:ind w:firstLine="601"/>
      </w:pPr>
      <w:r>
        <w:rPr>
          <w:rFonts w:ascii="仿宋_GB2312" w:hAnsi="仿宋"/>
          <w:sz w:val="29"/>
        </w:rPr>
        <w:t>按照世界银行等权威机构的估计，每吨SO</w:t>
      </w:r>
      <w:r>
        <w:rPr>
          <w:rFonts w:ascii="仿宋_GB2312" w:hAnsi="仿宋"/>
          <w:sz w:val="29"/>
          <w:szCs w:val="29"/>
          <w:vertAlign w:val="subscript"/>
        </w:rPr>
        <w:t>2</w:t>
      </w:r>
      <w:r>
        <w:rPr>
          <w:rFonts w:ascii="仿宋_GB2312" w:hAnsi="仿宋"/>
          <w:sz w:val="29"/>
        </w:rPr>
        <w:t>的排放将给环境带来515美元的经济损失。按此估算，福建LNG发电项目每年将带来1.91亿美元的环境效益。</w:t>
      </w:r>
    </w:p>
    <w:p w14:paraId="69D75E98">
      <w:pPr>
        <w:ind w:firstLine="548"/>
      </w:pPr>
      <w:r>
        <w:rPr>
          <w:rFonts w:ascii="仿宋_GB2312" w:hAnsi="仿宋"/>
          <w:sz w:val="29"/>
        </w:rPr>
        <w:t>2、据国际能源机构（IEA）估计，到2020年，因中国的能源需求增长将需新增5亿千瓦的电力，如果全部用天然气发电，每年将减排CO</w:t>
      </w:r>
      <w:r>
        <w:rPr>
          <w:rFonts w:ascii="仿宋_GB2312" w:hAnsi="仿宋"/>
          <w:sz w:val="29"/>
          <w:szCs w:val="29"/>
          <w:vertAlign w:val="subscript"/>
        </w:rPr>
        <w:t>2</w:t>
      </w:r>
      <w:r>
        <w:rPr>
          <w:rFonts w:ascii="仿宋_GB2312" w:hAnsi="仿宋"/>
          <w:sz w:val="29"/>
        </w:rPr>
        <w:t xml:space="preserve"> 6.04亿吨，每年减排SO</w:t>
      </w:r>
      <w:r>
        <w:rPr>
          <w:rFonts w:ascii="仿宋_GB2312" w:hAnsi="仿宋"/>
          <w:sz w:val="29"/>
          <w:szCs w:val="29"/>
          <w:vertAlign w:val="subscript"/>
        </w:rPr>
        <w:t>2</w:t>
      </w:r>
      <w:r>
        <w:rPr>
          <w:rFonts w:ascii="仿宋_GB2312" w:hAnsi="仿宋"/>
          <w:sz w:val="29"/>
        </w:rPr>
        <w:t xml:space="preserve"> 1568万吨，减排NO</w:t>
      </w:r>
      <w:r>
        <w:rPr>
          <w:rFonts w:ascii="仿宋_GB2312" w:hAnsi="仿宋"/>
          <w:sz w:val="29"/>
          <w:szCs w:val="29"/>
          <w:vertAlign w:val="subscript"/>
        </w:rPr>
        <w:t>2</w:t>
      </w:r>
      <w:r>
        <w:rPr>
          <w:rFonts w:ascii="仿宋_GB2312" w:hAnsi="仿宋"/>
          <w:sz w:val="29"/>
        </w:rPr>
        <w:t xml:space="preserve"> 1752万吨。</w:t>
      </w:r>
    </w:p>
    <w:p w14:paraId="5A70BC70">
      <w:pPr>
        <w:ind w:firstLine="548"/>
      </w:pPr>
      <w:r>
        <w:rPr>
          <w:rFonts w:ascii="仿宋_GB2312" w:hAnsi="仿宋"/>
          <w:sz w:val="29"/>
        </w:rPr>
        <w:t>3、1999年，被监测的中国城市中仅30%的城市SO2的排放符合国家环境质量监督协会二级指标，燃煤及车辆排放是空气污染的主要原因。</w:t>
      </w:r>
    </w:p>
    <w:p w14:paraId="0292BBB6">
      <w:pPr>
        <w:ind w:firstLine="548"/>
      </w:pPr>
      <w:r>
        <w:rPr>
          <w:rFonts w:ascii="仿宋_GB2312" w:hAnsi="仿宋"/>
          <w:sz w:val="29"/>
        </w:rPr>
        <w:t>4、对森林、农作物及海洋鱼类的生长有影响的酸雨，已影响全国10个省份。近年来，由于全国性环保运动的开展，酸雨污染情况已有所改善。但如没有进一步的环境改善政策，能源需求增长以及燃煤排放增加导致的酸雨问题仍将扩大。</w:t>
      </w:r>
    </w:p>
    <w:p w14:paraId="598AD45A">
      <w:pPr>
        <w:ind w:firstLine="601"/>
      </w:pPr>
      <w:r>
        <w:rPr>
          <w:rFonts w:ascii="仿宋_GB2312" w:hAnsi="仿宋"/>
          <w:sz w:val="29"/>
        </w:rPr>
        <w:t>综上所述，随着福建省天然气管网的建设目标的逐步实现，福建的自然环境将进一步改善，有利于促进福建经济社会持续、健康、快速发展。</w:t>
      </w:r>
    </w:p>
    <w:p w14:paraId="5C00420B">
      <w:pPr>
        <w:ind w:firstLine="601"/>
        <w:rPr>
          <w:rFonts w:ascii="仿宋_GB2312" w:hAnsi="仿宋"/>
          <w:sz w:val="29"/>
        </w:rPr>
      </w:pPr>
    </w:p>
    <w:p w14:paraId="019FA3EF">
      <w:r>
        <w:rPr>
          <w:rFonts w:ascii="仿宋_GB2312" w:hAnsi="仿宋"/>
          <w:sz w:val="29"/>
        </w:rPr>
        <w:t>（二）施工期间环境影响与环保措施</w:t>
      </w:r>
    </w:p>
    <w:p w14:paraId="49E28B67">
      <w:pPr>
        <w:ind w:firstLine="601"/>
      </w:pPr>
      <w:r>
        <w:rPr>
          <w:rFonts w:ascii="仿宋_GB2312" w:hAnsi="仿宋"/>
          <w:sz w:val="29"/>
        </w:rPr>
        <w:t>在施工过程中，将占用部分林地、耕地。其中临时性占地主要用于施工时管线的埋设、建堆管场以及施工便道的建设；永久性占地主要用于场站的建设，永久性占地将改变现有的土地利用状况。</w:t>
      </w:r>
    </w:p>
    <w:p w14:paraId="4096E164">
      <w:pPr>
        <w:ind w:firstLine="548"/>
      </w:pPr>
      <w:r>
        <w:rPr>
          <w:rFonts w:ascii="仿宋_GB2312" w:hAnsi="仿宋"/>
          <w:sz w:val="29"/>
        </w:rPr>
        <w:t>1、管线施工是分段进行的，每段管线从施工到重新覆土一般为三个月，影响农田一季的耕作；施工临时占用部分林地，因施工时间短，施工完毕后可及时复种，对环境影响较小。因此，施工对耕地、林地、临时性占地的影响是短暂的，且绝大部分是可逆的。</w:t>
      </w:r>
    </w:p>
    <w:p w14:paraId="3765D383">
      <w:pPr>
        <w:ind w:firstLine="548"/>
      </w:pPr>
      <w:r>
        <w:rPr>
          <w:rFonts w:ascii="仿宋_GB2312" w:hAnsi="仿宋"/>
          <w:sz w:val="29"/>
        </w:rPr>
        <w:t>2、管线建设对自然环境和生态状况也有一定的益处，站场的建设、绿化会使自然环境向好的方面转化，管线的建设还可以改善城镇的能源情况，减少其它能源的消耗，进而减轻对环境的污染，还可以减少铁路、公路的运输，减少扬尘，减少噪声，可以改善生物的生存环境。</w:t>
      </w:r>
    </w:p>
    <w:p w14:paraId="2691677D">
      <w:pPr>
        <w:ind w:firstLine="548"/>
      </w:pPr>
      <w:r>
        <w:rPr>
          <w:rFonts w:ascii="仿宋_GB2312" w:hAnsi="仿宋"/>
          <w:sz w:val="29"/>
        </w:rPr>
        <w:t>3、海底管线施工对生态环境的影响主要表现为：挖沟时掀起的海底表层沉积物会进入水体增加海水中悬浮物质的含量；另一方面，挖沟会破坏部分海底栖生物，但其影响是可逆的，在较短的时间内即可恢复。</w:t>
      </w:r>
    </w:p>
    <w:p w14:paraId="5F98DD13">
      <w:pPr>
        <w:ind w:firstLine="548"/>
      </w:pPr>
      <w:r>
        <w:rPr>
          <w:rFonts w:ascii="仿宋_GB2312" w:hAnsi="仿宋"/>
          <w:sz w:val="29"/>
        </w:rPr>
        <w:t>4、在建过程中主要污染源是施工机械与施工过程中产生废水、废气、废渣及噪声等污染物，施工人员的生活污水和垃圾。但施工期污染物排放量较小且分散排放，不会对环境造成大的影响；施工过程中产生的生产废物及生活垃圾应收集清理出场外，妥善处置。</w:t>
      </w:r>
    </w:p>
    <w:p w14:paraId="168D2B62">
      <w:pPr>
        <w:ind w:firstLine="601"/>
      </w:pPr>
      <w:r>
        <w:rPr>
          <w:rFonts w:ascii="仿宋_GB2312" w:hAnsi="仿宋"/>
          <w:sz w:val="29"/>
        </w:rPr>
        <w:t>为使施工对生态环境的影响降低到最低限度，要做到以下几点：</w:t>
      </w:r>
    </w:p>
    <w:p w14:paraId="371414B9">
      <w:pPr>
        <w:ind w:firstLine="466"/>
      </w:pPr>
      <w:r>
        <w:rPr>
          <w:rFonts w:ascii="仿宋_GB2312" w:hAnsi="仿宋"/>
          <w:sz w:val="29"/>
        </w:rPr>
        <w:t>（1）在线路走向及方案选择中，充分重视对生态环境的保护，尽量避开或减少经过农田、果园等多年生经济作物区域和重要的农田基本建设设施地段；避开城镇规划区、国家级自然保护区，森林公园、生态林、防风林、防沙林、风景名胜区、水源保护区以及沿海防护林体系中属泥、沙岸地带的基干林带等生态区位敏感的区域。</w:t>
      </w:r>
    </w:p>
    <w:p w14:paraId="0F660D3C">
      <w:pPr>
        <w:ind w:firstLine="466"/>
      </w:pPr>
      <w:r>
        <w:rPr>
          <w:rFonts w:ascii="仿宋_GB2312" w:hAnsi="仿宋"/>
          <w:sz w:val="29"/>
        </w:rPr>
        <w:t>（2）对于林地的破坏，做到损失多少，恢复多少；</w:t>
      </w:r>
    </w:p>
    <w:p w14:paraId="078DE1BD">
      <w:pPr>
        <w:ind w:firstLine="466"/>
      </w:pPr>
      <w:r>
        <w:rPr>
          <w:rFonts w:ascii="仿宋_GB2312" w:hAnsi="仿宋"/>
          <w:sz w:val="29"/>
        </w:rPr>
        <w:t>（3）管沟的开挖和回填应做到分层开挖，分层堆放，分层回填；施工完毕后做好土地的平整工作，尽量恢复原有地貌；</w:t>
      </w:r>
    </w:p>
    <w:p w14:paraId="12381C41">
      <w:pPr>
        <w:ind w:firstLine="466"/>
      </w:pPr>
      <w:r>
        <w:rPr>
          <w:rFonts w:ascii="仿宋_GB2312" w:hAnsi="仿宋"/>
          <w:sz w:val="29"/>
        </w:rPr>
        <w:t>（4）站场在选择放空管的位置时应尽量避免危害范围内有敏感目标。</w:t>
      </w:r>
    </w:p>
    <w:p w14:paraId="242CD8AA">
      <w:pPr>
        <w:ind w:firstLine="466"/>
        <w:rPr>
          <w:rFonts w:ascii="仿宋_GB2312" w:hAnsi="仿宋"/>
          <w:sz w:val="29"/>
        </w:rPr>
      </w:pPr>
    </w:p>
    <w:p w14:paraId="7734B830">
      <w:r>
        <w:rPr>
          <w:rFonts w:ascii="仿宋_GB2312" w:hAnsi="仿宋"/>
          <w:sz w:val="29"/>
        </w:rPr>
        <w:t>（三）运行期间环境影响与环保措施</w:t>
      </w:r>
    </w:p>
    <w:p w14:paraId="7A3E03CF">
      <w:pPr>
        <w:ind w:firstLine="601"/>
      </w:pPr>
      <w:r>
        <w:rPr>
          <w:rFonts w:ascii="仿宋_GB2312" w:hAnsi="仿宋"/>
          <w:sz w:val="29"/>
        </w:rPr>
        <w:t>由于供气采用密闭输送工艺,只是在管线清管或在事故状态下有少量的污染物产生,因而运行期间对生态环境没有太大的影响。</w:t>
      </w:r>
    </w:p>
    <w:p w14:paraId="6593853C">
      <w:pPr>
        <w:ind w:firstLine="601"/>
      </w:pPr>
      <w:r>
        <w:rPr>
          <w:rFonts w:ascii="仿宋_GB2312" w:hAnsi="仿宋"/>
          <w:sz w:val="29"/>
        </w:rPr>
        <w:t>本规划设施和供气管线输送介质为脱硫、脱水后的天然气，供气期间无废水产生。运行过程中主要污染源为各站场的设备清洗水、地面冲洗水及生活污水；清管作业产生的废渣、废水；站场放空管及放空火炬排放的烃类和烟气；分离器、汇气管、阀门、调压设备等产生的机械噪声；固体生产废物及生活垃圾。</w:t>
      </w:r>
    </w:p>
    <w:p w14:paraId="3CDCEC44">
      <w:pPr>
        <w:ind w:firstLine="548"/>
      </w:pPr>
      <w:r>
        <w:rPr>
          <w:rFonts w:ascii="仿宋_GB2312" w:hAnsi="仿宋"/>
          <w:sz w:val="29"/>
        </w:rPr>
        <w:t>1、污水：场地、设备冲洗水主要污染物为石油类、SS（悬浮物）,经隔油、沉淀处理后，清液用作站场绿化用水、场地冲洗用水；浮油收集后集中处理。站内的少量生活污水经化粪池处理后，排入市政管网。</w:t>
      </w:r>
    </w:p>
    <w:p w14:paraId="2565019C">
      <w:pPr>
        <w:ind w:firstLine="548"/>
      </w:pPr>
      <w:r>
        <w:rPr>
          <w:rFonts w:ascii="仿宋_GB2312" w:hAnsi="仿宋"/>
          <w:sz w:val="29"/>
        </w:rPr>
        <w:t>2、废渣：供气站场地、清管作业中主要成份为硫化亚铁的少量废渣；输气站场地、设备冲洗水沉淀的泥沙等杂质，集中后进行填埋处理。</w:t>
      </w:r>
    </w:p>
    <w:p w14:paraId="5A7DE9E6">
      <w:pPr>
        <w:ind w:firstLine="548"/>
      </w:pPr>
      <w:r>
        <w:rPr>
          <w:rFonts w:ascii="仿宋_GB2312" w:hAnsi="仿宋"/>
          <w:sz w:val="29"/>
        </w:rPr>
        <w:t>3、废气：输送系统出现故障时，在检修之前需放空相应管段内的天然气，该部分天然气将通过截断阀室和输气站两端的排放筒自动点火放空排放。废气中主要污染物为NOx、CO</w:t>
      </w:r>
      <w:r>
        <w:rPr>
          <w:rFonts w:ascii="仿宋_GB2312" w:hAnsi="仿宋"/>
          <w:sz w:val="29"/>
          <w:szCs w:val="29"/>
          <w:vertAlign w:val="subscript"/>
        </w:rPr>
        <w:t>2</w:t>
      </w:r>
      <w:r>
        <w:rPr>
          <w:rFonts w:ascii="仿宋_GB2312" w:hAnsi="仿宋"/>
          <w:sz w:val="29"/>
        </w:rPr>
        <w:t>等，排放方式为偶然性瞬时排放。</w:t>
      </w:r>
    </w:p>
    <w:p w14:paraId="362D42CB">
      <w:pPr>
        <w:ind w:firstLine="548"/>
      </w:pPr>
      <w:r>
        <w:rPr>
          <w:rFonts w:ascii="仿宋_GB2312" w:hAnsi="仿宋"/>
          <w:sz w:val="29"/>
        </w:rPr>
        <w:t>4、噪声：采用“闹静分开”，通过吸声、隔声、消声等噪声控制技术，防治噪声的传播。</w:t>
      </w:r>
    </w:p>
    <w:p w14:paraId="35E9D56B">
      <w:pPr>
        <w:ind w:firstLine="548"/>
      </w:pPr>
      <w:r>
        <w:rPr>
          <w:rFonts w:ascii="仿宋_GB2312" w:hAnsi="仿宋"/>
          <w:sz w:val="29"/>
        </w:rPr>
        <w:t>5、绿化：绿化是减少污染、保护环境的重要措施，在项目实施中应提高管线沿线、站场的绿化率。</w:t>
      </w:r>
    </w:p>
    <w:p w14:paraId="689DD0B7">
      <w:pPr>
        <w:ind w:firstLine="601"/>
        <w:rPr>
          <w:rFonts w:ascii="仿宋_GB2312" w:hAnsi="仿宋"/>
          <w:sz w:val="29"/>
        </w:rPr>
      </w:pPr>
    </w:p>
    <w:p w14:paraId="54A63880">
      <w:r>
        <w:rPr>
          <w:rFonts w:ascii="仿宋_GB2312" w:hAnsi="仿宋"/>
          <w:sz w:val="29"/>
        </w:rPr>
        <w:t>（四）环境管理与监测</w:t>
      </w:r>
    </w:p>
    <w:p w14:paraId="3B799A4E">
      <w:pPr>
        <w:ind w:firstLine="601"/>
      </w:pPr>
      <w:r>
        <w:rPr>
          <w:rFonts w:ascii="仿宋_GB2312" w:hAnsi="仿宋"/>
          <w:sz w:val="29"/>
        </w:rPr>
        <w:t>在环境保护工作中，管理和治理是相辅相成、缺一不可的。通过管理可以防止新污染、促进治理、巩固和发挥治理效果。在规划项目实施过程中应设置环境管理机构，并有专人负责组织、落实、监督其环保工作。</w:t>
      </w:r>
    </w:p>
    <w:p w14:paraId="064D88F0">
      <w:pPr>
        <w:ind w:firstLine="601"/>
      </w:pPr>
      <w:r>
        <w:rPr>
          <w:rFonts w:ascii="仿宋_GB2312" w:hAnsi="仿宋"/>
          <w:sz w:val="29"/>
        </w:rPr>
        <w:t>环境监测是环保工作的重要组成部分，它是监督检查“三废”排放情况，正确评价环境质量和污染治理设施性能必不可少的手段。本规划中项目的日常环境监测工作可依托当地的环境监测部门来进行，监测项目、监测点设置、监测频率等将在下一步工作中提出，也可由业主和当地环境监测部门统一考虑。</w:t>
      </w:r>
    </w:p>
    <w:p w14:paraId="70BAE813">
      <w:pPr>
        <w:spacing w:line="600" w:lineRule="exact"/>
        <w:ind w:firstLine="600"/>
        <w:rPr>
          <w:rFonts w:ascii="仿宋_GB2312" w:hAnsi="仿宋"/>
          <w:sz w:val="29"/>
        </w:rPr>
      </w:pPr>
    </w:p>
    <w:p w14:paraId="6F7A8B37">
      <w:pPr>
        <w:spacing w:line="600" w:lineRule="exact"/>
        <w:ind w:firstLine="600"/>
        <w:sectPr>
          <w:pgSz w:w="11906" w:h="16838"/>
          <w:pgMar w:top="1588" w:right="1418" w:bottom="1418" w:left="1588" w:header="720" w:footer="720" w:gutter="0"/>
          <w:cols w:space="720" w:num="1"/>
        </w:sectPr>
      </w:pPr>
    </w:p>
    <w:p w14:paraId="107C6D31">
      <w:pPr>
        <w:pStyle w:val="11"/>
        <w:spacing w:before="0" w:after="0" w:line="600" w:lineRule="exact"/>
        <w:jc w:val="center"/>
      </w:pPr>
      <w:r>
        <w:rPr>
          <w:rFonts w:ascii="仿宋_GB2312" w:hAnsi="仿宋"/>
          <w:b/>
          <w:sz w:val="36"/>
          <w:szCs w:val="36"/>
        </w:rPr>
        <w:t>第十一章  保障措施</w:t>
      </w:r>
    </w:p>
    <w:p w14:paraId="40007B4A">
      <w:r>
        <w:rPr>
          <w:rFonts w:ascii="仿宋_GB2312" w:hAnsi="仿宋"/>
          <w:sz w:val="29"/>
        </w:rPr>
        <w:t xml:space="preserve">    （一）应急保障</w:t>
      </w:r>
    </w:p>
    <w:p w14:paraId="5BCBDB05">
      <w:pPr>
        <w:ind w:firstLine="548"/>
      </w:pPr>
      <w:r>
        <w:rPr>
          <w:rFonts w:ascii="仿宋_GB2312" w:hAnsi="仿宋"/>
          <w:sz w:val="29"/>
        </w:rPr>
        <w:t>1、各县及以上地方政府应当建立健全燃气应急储备制度；组织编制燃气应急预案；采取切实有效的综合措施提高各地的燃气应急保障能力。</w:t>
      </w:r>
    </w:p>
    <w:p w14:paraId="5C512A33">
      <w:pPr>
        <w:ind w:firstLine="548"/>
      </w:pPr>
      <w:r>
        <w:rPr>
          <w:rFonts w:ascii="仿宋_GB2312" w:hAnsi="仿宋"/>
          <w:sz w:val="29"/>
        </w:rPr>
        <w:t>2、应急安全保障措施实施责任落实到人，要做到权责一致，特别要防止责任人“责大权小”的现象。</w:t>
      </w:r>
    </w:p>
    <w:p w14:paraId="59F8DD3A">
      <w:pPr>
        <w:ind w:firstLine="548"/>
      </w:pPr>
      <w:r>
        <w:rPr>
          <w:rFonts w:ascii="仿宋_GB2312" w:hAnsi="仿宋"/>
          <w:sz w:val="29"/>
        </w:rPr>
        <w:t>3、各县及以上地方政府燃气管理部门应当会同有关部门对当地的燃气供求状况实施监测、预测和预警。</w:t>
      </w:r>
    </w:p>
    <w:p w14:paraId="701D472E">
      <w:pPr>
        <w:ind w:firstLine="548"/>
      </w:pPr>
      <w:r>
        <w:rPr>
          <w:rFonts w:ascii="仿宋_GB2312" w:hAnsi="仿宋"/>
          <w:sz w:val="29"/>
        </w:rPr>
        <w:t>4、燃气供应严重短缺、供应中断等突发事件发生后，县级以上地方人民政府应当及时采取动用储备、紧急调度等应急措施，燃气经营者以及其他有关单位和个人应当予以配合，承担相关应急任务。</w:t>
      </w:r>
    </w:p>
    <w:p w14:paraId="53E350F1">
      <w:r>
        <w:rPr>
          <w:rFonts w:ascii="仿宋_GB2312" w:hAnsi="仿宋"/>
          <w:sz w:val="29"/>
        </w:rPr>
        <w:t xml:space="preserve">    （二）控制液化石油气的发展</w:t>
      </w:r>
    </w:p>
    <w:p w14:paraId="353DD605">
      <w:pPr>
        <w:ind w:firstLine="548"/>
      </w:pPr>
      <w:r>
        <w:rPr>
          <w:rFonts w:ascii="仿宋_GB2312" w:hAnsi="仿宋"/>
          <w:sz w:val="29"/>
        </w:rPr>
        <w:t>2010年度全省城市燃气口液化石油气年总购气量为45.82万吨，按等热值折合LNG42.62万吨，液化石油气总用气人口为1020万人，占燃气总气化人口的77.78%。虽然现阶段LNG的供应量能满足全省替代液化石油气的要求，但是由于液化石油气用户多，分布范围广，因此LNG替代液化石油气是一个渐进发展的过程。从现在开始，应严格控制城镇液化石油气项目的审批，原则上不再上新的液化石油气储配站、灌瓶站等新、改、扩项目，同时加快全省LNG管网和卫星站建设，实现LNG气化站与管道供气方式滚动协调发展，并逐步以支线管道供气替代LNG气化站，满足城镇用户不断增长使用管道天然气的需要。</w:t>
      </w:r>
    </w:p>
    <w:p w14:paraId="538D668C">
      <w:pPr>
        <w:ind w:firstLine="548"/>
        <w:rPr>
          <w:rFonts w:ascii="仿宋_GB2312" w:hAnsi="仿宋"/>
          <w:color w:val="FF0000"/>
          <w:sz w:val="29"/>
        </w:rPr>
      </w:pPr>
    </w:p>
    <w:p w14:paraId="1C7E00D6">
      <w:pPr>
        <w:rPr>
          <w:rFonts w:ascii="仿宋_GB2312" w:hAnsi="仿宋"/>
        </w:rPr>
      </w:pPr>
      <w:r>
        <w:rPr>
          <w:rFonts w:ascii="仿宋_GB2312" w:hAnsi="仿宋"/>
          <w:sz w:val="29"/>
        </w:rPr>
        <w:t xml:space="preserve">    （三）落实气源</w:t>
      </w:r>
    </w:p>
    <w:p w14:paraId="1C554B29">
      <w:pPr>
        <w:ind w:firstLine="548"/>
      </w:pPr>
      <w:r>
        <w:rPr>
          <w:rFonts w:ascii="仿宋_GB2312" w:hAnsi="仿宋"/>
          <w:sz w:val="29"/>
        </w:rPr>
        <w:t>1、依托已投产的秀屿LNG接收站现有供气平台，大力引进国外LNG资源，确保秀屿LNG接收站500万吨/年LNG供应量。</w:t>
      </w:r>
    </w:p>
    <w:p w14:paraId="68E1A86B">
      <w:pPr>
        <w:ind w:firstLine="548"/>
      </w:pPr>
      <w:r>
        <w:rPr>
          <w:rFonts w:ascii="仿宋_GB2312" w:hAnsi="仿宋"/>
          <w:sz w:val="29"/>
        </w:rPr>
        <w:t>2、加快福建天然气管网与浙江、广东管网对接，确保浙江、广东管网与福建管网具备互输能力。合理确定与浙江、广东气源的调度规模和事故调度量，做到互备互补。同时，抓住西气东输二线工程建设的有利契机，确保龙岩至长汀的供气管线与西气东输管线同步接通。使福建省供气管网融入全国天然气主干管网系统中，保证福建省的用气安全。</w:t>
      </w:r>
    </w:p>
    <w:p w14:paraId="4DFED527">
      <w:pPr>
        <w:ind w:firstLine="548"/>
      </w:pPr>
      <w:r>
        <w:rPr>
          <w:rFonts w:ascii="仿宋_GB2312" w:hAnsi="仿宋"/>
          <w:sz w:val="29"/>
        </w:rPr>
        <w:t>3、启动宁德接收站项目前期工作，争取2012年开工建设，确保在福建省内具备第二个海上进口LNG供气点。</w:t>
      </w:r>
    </w:p>
    <w:p w14:paraId="41D377AD">
      <w:pPr>
        <w:ind w:firstLine="548"/>
      </w:pPr>
      <w:r>
        <w:rPr>
          <w:rFonts w:ascii="仿宋_GB2312" w:hAnsi="仿宋"/>
          <w:sz w:val="29"/>
        </w:rPr>
        <w:t>4、根据市场需求，争取中海油的海外资源，保障海西天然气需求。</w:t>
      </w:r>
    </w:p>
    <w:p w14:paraId="141AAC83">
      <w:r>
        <w:rPr>
          <w:rFonts w:ascii="仿宋_GB2312" w:hAnsi="仿宋"/>
          <w:sz w:val="29"/>
        </w:rPr>
        <w:t xml:space="preserve">    （四）开拓市场</w:t>
      </w:r>
    </w:p>
    <w:p w14:paraId="3AE02D15">
      <w:pPr>
        <w:ind w:firstLine="548"/>
      </w:pPr>
      <w:r>
        <w:rPr>
          <w:rFonts w:ascii="仿宋_GB2312" w:hAnsi="仿宋"/>
          <w:sz w:val="29"/>
        </w:rPr>
        <w:t>1、重点做好大工业用户的发展工作，根据需求，及时建设供气支线。</w:t>
      </w:r>
    </w:p>
    <w:p w14:paraId="7202FEAC">
      <w:pPr>
        <w:ind w:firstLine="548"/>
      </w:pPr>
      <w:r>
        <w:rPr>
          <w:rFonts w:ascii="仿宋_GB2312" w:hAnsi="仿宋"/>
          <w:sz w:val="29"/>
        </w:rPr>
        <w:t>2、建设LNG汽车加气站，优先发展公交车和出租车。</w:t>
      </w:r>
    </w:p>
    <w:p w14:paraId="0EF4C805">
      <w:pPr>
        <w:ind w:firstLine="548"/>
      </w:pPr>
      <w:r>
        <w:rPr>
          <w:rFonts w:ascii="仿宋_GB2312" w:hAnsi="仿宋"/>
          <w:sz w:val="29"/>
        </w:rPr>
        <w:t>3、按规划的卫星站布局尽早建设，积极培育有潜力城镇LNG市场。</w:t>
      </w:r>
    </w:p>
    <w:p w14:paraId="18283BEE">
      <w:pPr>
        <w:ind w:firstLine="548"/>
      </w:pPr>
      <w:r>
        <w:rPr>
          <w:rFonts w:ascii="仿宋_GB2312" w:hAnsi="仿宋"/>
          <w:sz w:val="29"/>
        </w:rPr>
        <w:t>4、逐步、有序地替代城镇液化石油气用户。</w:t>
      </w:r>
    </w:p>
    <w:p w14:paraId="5645B58B">
      <w:pPr>
        <w:ind w:firstLine="548"/>
      </w:pPr>
      <w:r>
        <w:rPr>
          <w:rFonts w:ascii="仿宋_GB2312" w:hAnsi="仿宋"/>
          <w:sz w:val="29"/>
        </w:rPr>
        <w:t xml:space="preserve">（五）合理定价 </w:t>
      </w:r>
    </w:p>
    <w:p w14:paraId="6F26C14F">
      <w:pPr>
        <w:ind w:firstLine="466"/>
      </w:pPr>
      <w:r>
        <w:rPr>
          <w:rFonts w:ascii="仿宋_GB2312" w:hAnsi="仿宋"/>
          <w:sz w:val="29"/>
        </w:rPr>
        <w:t>根据国家能源价格政策，结合福建省天然气、电力市场实际，进一步落实气价、电价机制。</w:t>
      </w:r>
    </w:p>
    <w:p w14:paraId="75D6877C">
      <w:pPr>
        <w:ind w:firstLine="466"/>
      </w:pPr>
      <w:r>
        <w:rPr>
          <w:rFonts w:ascii="仿宋_GB2312" w:hAnsi="仿宋"/>
          <w:sz w:val="29"/>
        </w:rPr>
        <w:t>1、尽可能规避上游气源市场价格波动风险，多渠道询价，采取措施降低供气上游气源价格。</w:t>
      </w:r>
    </w:p>
    <w:p w14:paraId="0058937F">
      <w:pPr>
        <w:ind w:firstLine="466"/>
      </w:pPr>
      <w:r>
        <w:rPr>
          <w:rFonts w:ascii="仿宋_GB2312" w:hAnsi="仿宋"/>
          <w:sz w:val="29"/>
        </w:rPr>
        <w:t>2、天然气价格根据补偿经营者合理成本并获得合理投资回报的原则确定，并应与替代能源保持合理的比价关系。</w:t>
      </w:r>
    </w:p>
    <w:p w14:paraId="18369F6F">
      <w:pPr>
        <w:ind w:firstLine="466"/>
      </w:pPr>
      <w:r>
        <w:rPr>
          <w:rFonts w:ascii="仿宋_GB2312" w:hAnsi="仿宋"/>
          <w:sz w:val="29"/>
        </w:rPr>
        <w:t>3、实行气价分类管理，根据不同性质用户，实行分类定价和不同的价格管理方式，促进天然气市场的健康发展。</w:t>
      </w:r>
    </w:p>
    <w:p w14:paraId="620B4BE8">
      <w:r>
        <w:rPr>
          <w:rFonts w:ascii="仿宋_GB2312" w:hAnsi="仿宋"/>
          <w:sz w:val="29"/>
        </w:rPr>
        <w:t>（六）政策扶持</w:t>
      </w:r>
    </w:p>
    <w:p w14:paraId="146704D8">
      <w:pPr>
        <w:ind w:firstLine="466"/>
      </w:pPr>
      <w:r>
        <w:rPr>
          <w:rFonts w:ascii="仿宋_GB2312" w:hAnsi="仿宋"/>
          <w:sz w:val="29"/>
        </w:rPr>
        <w:t>1、政府在征地拆迁、施工审批办理等方面应给予政策支持。</w:t>
      </w:r>
    </w:p>
    <w:p w14:paraId="36BE7D0A">
      <w:pPr>
        <w:ind w:firstLine="466"/>
      </w:pPr>
      <w:r>
        <w:rPr>
          <w:rFonts w:ascii="仿宋_GB2312" w:hAnsi="仿宋"/>
          <w:sz w:val="29"/>
        </w:rPr>
        <w:t>2、统筹地方规划，争取地方规划保有管廊用地。</w:t>
      </w:r>
    </w:p>
    <w:p w14:paraId="4CDF8D95">
      <w:pPr>
        <w:ind w:firstLine="466"/>
      </w:pPr>
      <w:r>
        <w:rPr>
          <w:rFonts w:ascii="仿宋_GB2312" w:hAnsi="仿宋"/>
          <w:sz w:val="29"/>
        </w:rPr>
        <w:t>3、出台相应的政策，鼓励开发LNG气化站、LNG汽车加气站、城镇用户、船舶机械等的油改气项目。</w:t>
      </w:r>
    </w:p>
    <w:p w14:paraId="0B11D259">
      <w:pPr>
        <w:ind w:firstLine="466"/>
      </w:pPr>
      <w:r>
        <w:rPr>
          <w:rFonts w:ascii="仿宋_GB2312" w:hAnsi="仿宋"/>
          <w:sz w:val="29"/>
        </w:rPr>
        <w:t>4、加大对使用煤（煤制气）、重油等高污染企业的监管力度。尽快淘汰高污染、低效率的工厂煤、油锅炉，引导工业用户使用LNG。</w:t>
      </w:r>
    </w:p>
    <w:p w14:paraId="159AD75B">
      <w:pPr>
        <w:ind w:firstLine="466"/>
      </w:pPr>
      <w:r>
        <w:rPr>
          <w:rFonts w:ascii="仿宋_GB2312" w:hAnsi="仿宋"/>
          <w:sz w:val="29"/>
        </w:rPr>
        <w:t>5、推动新型居民小区和公共建筑采用冷热电三联供示范工作。</w:t>
      </w:r>
    </w:p>
    <w:p w14:paraId="4C25B12D">
      <w:r>
        <w:rPr>
          <w:rFonts w:ascii="仿宋_GB2312" w:hAnsi="仿宋"/>
          <w:sz w:val="29"/>
        </w:rPr>
        <w:t>（七）加强管理</w:t>
      </w:r>
    </w:p>
    <w:p w14:paraId="0ECFEC50">
      <w:pPr>
        <w:ind w:firstLine="466"/>
      </w:pPr>
      <w:r>
        <w:rPr>
          <w:rFonts w:ascii="仿宋_GB2312" w:hAnsi="仿宋"/>
          <w:sz w:val="29"/>
        </w:rPr>
        <w:t>1、进一步完善福建省与中国海油合作推进福建LNG建设的协作机制，共同争取国家在规划布局、气源协调、管理体制等方面的支持，落实各项建设、发展条件。</w:t>
      </w:r>
    </w:p>
    <w:p w14:paraId="2E8418D6">
      <w:pPr>
        <w:ind w:firstLine="466"/>
      </w:pPr>
      <w:r>
        <w:rPr>
          <w:rFonts w:ascii="仿宋_GB2312" w:hAnsi="仿宋"/>
          <w:sz w:val="29"/>
        </w:rPr>
        <w:t>2、加强政府对天然气建设的指导和管理，主要体现在如下几个方面：</w:t>
      </w:r>
    </w:p>
    <w:p w14:paraId="517CFF34">
      <w:pPr>
        <w:ind w:firstLine="466"/>
      </w:pPr>
      <w:r>
        <w:rPr>
          <w:rFonts w:ascii="仿宋_GB2312" w:hAnsi="仿宋"/>
          <w:sz w:val="29"/>
        </w:rPr>
        <w:t>（1）落实管网规划，控制和保护规划建设用地与管线走廊。</w:t>
      </w:r>
    </w:p>
    <w:p w14:paraId="729F5AF4">
      <w:pPr>
        <w:ind w:firstLine="466"/>
      </w:pPr>
      <w:r>
        <w:rPr>
          <w:rFonts w:ascii="仿宋_GB2312" w:hAnsi="仿宋"/>
          <w:sz w:val="29"/>
        </w:rPr>
        <w:t>（2）各设区市成立LNG工程建设领导小组，解决工程建设存在问题。</w:t>
      </w:r>
    </w:p>
    <w:p w14:paraId="67935D1A">
      <w:pPr>
        <w:ind w:firstLine="466"/>
      </w:pPr>
      <w:r>
        <w:rPr>
          <w:rFonts w:ascii="仿宋_GB2312" w:hAnsi="仿宋"/>
          <w:sz w:val="29"/>
        </w:rPr>
        <w:t>（3）完善福建LNG气电调度联合协调小组工作机制，理顺各环节利益关系，实现资源利用效果最大化。</w:t>
      </w:r>
    </w:p>
    <w:p w14:paraId="5D800732">
      <w:pPr>
        <w:ind w:firstLine="466"/>
      </w:pPr>
      <w:r>
        <w:rPr>
          <w:rFonts w:ascii="仿宋_GB2312" w:hAnsi="仿宋"/>
          <w:sz w:val="29"/>
        </w:rPr>
        <w:t>（4）认真贯彻《福建省燃气管理条例》（以下简称《条例》），依法通过招标方式授予管道燃气特许经营权。各地新建管道燃气项目，应当依照《条例》和国家发展改革委、商务部《外商投资产业指导目录》的规定，认真制定特许经营权招标组织实施方案。组织实施方案应报送省行业主管部门审核同意后方可实施。现有国有管道燃气企业转让股权的，其转让实施方案应当征求省行业主管部门意见，未经省行业主管部门同意，不得组织实施。特许经营权招标和股权转让实施结果，应报省行业主管部门备案。省行业主管部门应加强对城市燃气项目特许经营权管理的监督与指导。</w:t>
      </w:r>
    </w:p>
    <w:p w14:paraId="2B1F354B">
      <w:pPr>
        <w:ind w:firstLine="466"/>
      </w:pPr>
      <w:r>
        <w:rPr>
          <w:rFonts w:ascii="仿宋_GB2312" w:hAnsi="仿宋"/>
          <w:sz w:val="29"/>
        </w:rPr>
        <w:t>（5）协调城市燃气企业建设储气调峰站，保证城市安全供气。</w:t>
      </w:r>
    </w:p>
    <w:p w14:paraId="36F05192">
      <w:pPr>
        <w:ind w:firstLine="411"/>
      </w:pPr>
      <w:r>
        <w:rPr>
          <w:rFonts w:ascii="仿宋_GB2312" w:hAnsi="仿宋"/>
          <w:sz w:val="29"/>
        </w:rPr>
        <w:t>3、燃气企业管理</w:t>
      </w:r>
    </w:p>
    <w:p w14:paraId="2F9B7EA0">
      <w:pPr>
        <w:ind w:firstLine="411"/>
      </w:pPr>
      <w:r>
        <w:rPr>
          <w:rFonts w:ascii="仿宋_GB2312" w:hAnsi="仿宋"/>
          <w:sz w:val="29"/>
        </w:rPr>
        <w:t>作为燃气项目的实施管理主体的燃气企业，应加强如下管理工作：</w:t>
      </w:r>
    </w:p>
    <w:p w14:paraId="7FF6AE52">
      <w:pPr>
        <w:ind w:firstLine="466"/>
      </w:pPr>
      <w:r>
        <w:rPr>
          <w:rFonts w:ascii="仿宋_GB2312" w:hAnsi="仿宋"/>
          <w:sz w:val="29"/>
        </w:rPr>
        <w:t>（1）解决好资源方均衡供气和下游不均衡用气的矛盾，在市场开发阶段加强需求侧管理，重点做好可中断大工业用户的发展工作。</w:t>
      </w:r>
    </w:p>
    <w:p w14:paraId="26ADAF32">
      <w:pPr>
        <w:ind w:firstLine="466"/>
      </w:pPr>
      <w:r>
        <w:rPr>
          <w:rFonts w:ascii="仿宋_GB2312" w:hAnsi="仿宋"/>
          <w:sz w:val="29"/>
        </w:rPr>
        <w:t>（2）为培育和开拓市场，配合管网规划和建设，天然气市场定价根据市场需求采取灵活性原则，寻求市场快速成长和收益的平衡点。</w:t>
      </w:r>
    </w:p>
    <w:p w14:paraId="527EC970">
      <w:pPr>
        <w:ind w:firstLine="466"/>
      </w:pPr>
      <w:r>
        <w:rPr>
          <w:rFonts w:ascii="仿宋_GB2312" w:hAnsi="仿宋"/>
          <w:sz w:val="29"/>
        </w:rPr>
        <w:t>（3）根据国家天然气利用政策，加大市场开发力度，自觉按照省天然气管网规划实施，实现天然气市场健康发展。</w:t>
      </w:r>
    </w:p>
    <w:p w14:paraId="410EB841">
      <w:pPr>
        <w:ind w:firstLine="466"/>
      </w:pPr>
      <w:r>
        <w:rPr>
          <w:rFonts w:ascii="仿宋_GB2312" w:hAnsi="仿宋"/>
          <w:sz w:val="29"/>
        </w:rPr>
        <w:t>（4）根据天然气销售长期照付不议的特点，结合SPA协议相关规定，区别城镇用户的不同特点，构建上下游相衔接的照付不议商务构架。在遵照买方照付不议、卖方保证供应的国际惯例的基础上，合理分配风险，实现买卖双方的共赢。</w:t>
      </w:r>
    </w:p>
    <w:p w14:paraId="009E6E07">
      <w:pPr>
        <w:ind w:firstLine="466"/>
      </w:pPr>
      <w:r>
        <w:rPr>
          <w:rFonts w:ascii="仿宋_GB2312" w:hAnsi="仿宋"/>
          <w:sz w:val="29"/>
        </w:rPr>
        <w:t>（5）建立高效的安全应急机制，确保在发生重大紧急突发事件时，各方能迅速反应、有效控制和妥善处理安全应急事件。</w:t>
      </w:r>
    </w:p>
    <w:p w14:paraId="7110DEDE">
      <w:pPr>
        <w:ind w:firstLine="466"/>
      </w:pPr>
      <w:r>
        <w:rPr>
          <w:rFonts w:ascii="仿宋_GB2312" w:hAnsi="仿宋"/>
          <w:sz w:val="29"/>
        </w:rPr>
        <w:t>（6）加强管线保护宣传工作，严格执行《石油天然气管道保护条例》，对于重大管道安全隐患问题，及时与地方政府部门协调解决。</w:t>
      </w:r>
    </w:p>
    <w:sectPr>
      <w:pgSz w:w="11906" w:h="16838"/>
      <w:pgMar w:top="1588" w:right="1418" w:bottom="1418" w:left="158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Courier New">
    <w:panose1 w:val="02070309020205020404"/>
    <w:charset w:val="00"/>
    <w:family w:val="auto"/>
    <w:pitch w:val="default"/>
    <w:sig w:usb0="E0002E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A082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084F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7ADE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9B9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4988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ADF0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1529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062D0">
    <w:pPr>
      <w:jc w:val="both"/>
    </w:pPr>
    <w:r>
      <w:rPr>
        <w:sz w:val="21"/>
      </w:rPr>
      <w:t>规划成果概要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8"/>
      <w:numFmt w:val="japaneseCounting"/>
      <w:lvlText w:val="第%1章"/>
      <w:lvlJc w:val="left"/>
      <w:pPr>
        <w:ind w:left="1080" w:hanging="108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53208E"/>
    <w:multiLevelType w:val="multilevel"/>
    <w:tmpl w:val="0053208E"/>
    <w:lvl w:ilvl="0" w:tentative="0">
      <w:start w:val="4"/>
      <w:numFmt w:val="japaneseCounting"/>
      <w:lvlText w:val="第%1章"/>
      <w:lvlJc w:val="left"/>
      <w:pPr>
        <w:ind w:left="1455" w:hanging="1455"/>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compat>
    <w:useFELayout/>
    <w:splitPgBreakAndParaMark/>
    <w:compatSetting w:name="compatibilityMode" w:uri="http://schemas.microsoft.com/office/word" w:val="12"/>
  </w:compat>
  <w:rsids>
    <w:rsidRoot w:val="00000000"/>
    <w:rsid w:val="43FA4F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Times New Roman"/>
    </w:rPr>
  </w:style>
  <w:style w:type="paragraph" w:styleId="2">
    <w:name w:val="heading 1"/>
    <w:basedOn w:val="1"/>
    <w:uiPriority w:val="0"/>
    <w:pPr>
      <w:spacing w:before="480"/>
    </w:pPr>
    <w:rPr>
      <w:b/>
      <w:color w:val="345A8A"/>
      <w:sz w:val="32"/>
    </w:rPr>
  </w:style>
  <w:style w:type="paragraph" w:styleId="3">
    <w:name w:val="heading 2"/>
    <w:basedOn w:val="1"/>
    <w:uiPriority w:val="0"/>
    <w:pPr>
      <w:spacing w:before="200"/>
    </w:pPr>
    <w:rPr>
      <w:b/>
      <w:color w:val="4F81BD"/>
      <w:sz w:val="26"/>
    </w:rPr>
  </w:style>
  <w:style w:type="paragraph" w:styleId="4">
    <w:name w:val="heading 3"/>
    <w:basedOn w:val="1"/>
    <w:uiPriority w:val="0"/>
    <w:pPr>
      <w:spacing w:before="200"/>
    </w:pPr>
    <w:rPr>
      <w:b/>
      <w:color w:val="4F81BD"/>
      <w:sz w:val="2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Subtitle"/>
    <w:basedOn w:val="1"/>
    <w:uiPriority w:val="0"/>
    <w:rPr>
      <w:i/>
      <w:color w:val="4F81BD"/>
      <w:sz w:val="24"/>
    </w:rPr>
  </w:style>
  <w:style w:type="paragraph" w:styleId="6">
    <w:name w:val="Title"/>
    <w:basedOn w:val="1"/>
    <w:uiPriority w:val="0"/>
    <w:pPr>
      <w:spacing w:after="300"/>
    </w:pPr>
    <w:rPr>
      <w:color w:val="17365D"/>
      <w:sz w:val="52"/>
    </w:rPr>
  </w:style>
  <w:style w:type="paragraph" w:customStyle="1" w:styleId="9">
    <w:name w:val="正文1"/>
    <w:qFormat/>
    <w:uiPriority w:val="0"/>
    <w:pPr>
      <w:jc w:val="both"/>
    </w:pPr>
    <w:rPr>
      <w:rFonts w:ascii="Times New Roman"/>
      <w:sz w:val="21"/>
      <w:szCs w:val="24"/>
    </w:rPr>
  </w:style>
  <w:style w:type="paragraph" w:customStyle="1" w:styleId="10">
    <w:name w:val="标题 11"/>
    <w:basedOn w:val="9"/>
    <w:qFormat/>
    <w:uiPriority w:val="0"/>
    <w:pPr>
      <w:spacing w:before="340" w:after="330" w:line="576" w:lineRule="auto"/>
    </w:pPr>
    <w:rPr>
      <w:b/>
      <w:sz w:val="44"/>
      <w:szCs w:val="44"/>
    </w:rPr>
  </w:style>
  <w:style w:type="paragraph" w:customStyle="1" w:styleId="11">
    <w:name w:val="标题 21"/>
    <w:basedOn w:val="9"/>
    <w:qFormat/>
    <w:uiPriority w:val="0"/>
    <w:pPr>
      <w:spacing w:before="260" w:after="260" w:line="415" w:lineRule="auto"/>
    </w:pPr>
    <w:rPr>
      <w:rFonts w:ascii="Arial" w:hAnsi="Arial"/>
      <w:b/>
      <w:sz w:val="32"/>
      <w:szCs w:val="32"/>
    </w:rPr>
  </w:style>
  <w:style w:type="paragraph" w:customStyle="1" w:styleId="12">
    <w:name w:val="标题 31"/>
    <w:basedOn w:val="9"/>
    <w:qFormat/>
    <w:uiPriority w:val="0"/>
    <w:pPr>
      <w:spacing w:before="260" w:after="260" w:line="415" w:lineRule="auto"/>
    </w:pPr>
    <w:rPr>
      <w:b/>
      <w:sz w:val="32"/>
      <w:szCs w:val="32"/>
    </w:rPr>
  </w:style>
  <w:style w:type="character" w:customStyle="1" w:styleId="13">
    <w:name w:val="默认段落字体1"/>
    <w:qFormat/>
    <w:uiPriority w:val="0"/>
  </w:style>
  <w:style w:type="table" w:customStyle="1" w:styleId="14">
    <w:name w:val="普通表格1"/>
    <w:qFormat/>
    <w:uiPriority w:val="0"/>
    <w:tblPr/>
  </w:style>
  <w:style w:type="character" w:customStyle="1" w:styleId="15">
    <w:name w:val="标题 1 Char"/>
    <w:basedOn w:val="13"/>
    <w:qFormat/>
    <w:uiPriority w:val="0"/>
    <w:rPr>
      <w:b/>
      <w:sz w:val="44"/>
      <w:szCs w:val="44"/>
    </w:rPr>
  </w:style>
  <w:style w:type="character" w:customStyle="1" w:styleId="16">
    <w:name w:val="页眉 Char"/>
    <w:basedOn w:val="13"/>
    <w:qFormat/>
    <w:uiPriority w:val="0"/>
    <w:rPr>
      <w:sz w:val="18"/>
      <w:szCs w:val="18"/>
    </w:rPr>
  </w:style>
  <w:style w:type="character" w:customStyle="1" w:styleId="17">
    <w:name w:val="页脚 Char"/>
    <w:qFormat/>
    <w:uiPriority w:val="0"/>
    <w:rPr>
      <w:sz w:val="18"/>
      <w:szCs w:val="18"/>
    </w:rPr>
  </w:style>
  <w:style w:type="character" w:customStyle="1" w:styleId="18">
    <w:name w:val="批注框文本 Char"/>
    <w:qFormat/>
    <w:uiPriority w:val="0"/>
    <w:rPr>
      <w:sz w:val="18"/>
      <w:szCs w:val="18"/>
    </w:rPr>
  </w:style>
  <w:style w:type="character" w:customStyle="1" w:styleId="19">
    <w:name w:val="t_tag"/>
    <w:basedOn w:val="13"/>
    <w:qFormat/>
    <w:uiPriority w:val="0"/>
  </w:style>
  <w:style w:type="character" w:customStyle="1" w:styleId="20">
    <w:name w:val="font_24px1"/>
    <w:basedOn w:val="13"/>
    <w:qFormat/>
    <w:uiPriority w:val="0"/>
    <w:rPr>
      <w:b/>
      <w:strike/>
      <w:dstrike/>
      <w:sz w:val="36"/>
      <w:szCs w:val="36"/>
    </w:rPr>
  </w:style>
  <w:style w:type="character" w:customStyle="1" w:styleId="21">
    <w:name w:val="纯文本 Char"/>
    <w:qFormat/>
    <w:uiPriority w:val="0"/>
    <w:rPr>
      <w:rFonts w:ascii="宋体" w:hAnsi="Courier New"/>
      <w:sz w:val="21"/>
      <w:szCs w:val="21"/>
    </w:rPr>
  </w:style>
  <w:style w:type="character" w:customStyle="1" w:styleId="22">
    <w:name w:val="批注引用1"/>
    <w:basedOn w:val="13"/>
    <w:qFormat/>
    <w:uiPriority w:val="0"/>
    <w:rPr>
      <w:sz w:val="21"/>
      <w:szCs w:val="21"/>
    </w:rPr>
  </w:style>
  <w:style w:type="character" w:customStyle="1" w:styleId="23">
    <w:name w:val="页码1"/>
    <w:basedOn w:val="13"/>
    <w:qFormat/>
    <w:uiPriority w:val="0"/>
  </w:style>
  <w:style w:type="character" w:customStyle="1" w:styleId="24">
    <w:name w:val="要点1"/>
    <w:basedOn w:val="13"/>
    <w:qFormat/>
    <w:uiPriority w:val="0"/>
    <w:rPr>
      <w:b/>
    </w:rPr>
  </w:style>
  <w:style w:type="character" w:customStyle="1" w:styleId="25">
    <w:name w:val="超链接1"/>
    <w:basedOn w:val="13"/>
    <w:qFormat/>
    <w:uiPriority w:val="0"/>
    <w:rPr>
      <w:color w:val="0000FF"/>
      <w:u w:val="single"/>
    </w:rPr>
  </w:style>
  <w:style w:type="character" w:customStyle="1" w:styleId="26">
    <w:name w:val="强调1"/>
    <w:basedOn w:val="13"/>
    <w:qFormat/>
    <w:uiPriority w:val="0"/>
    <w:rPr>
      <w:i/>
      <w:color w:val="CC0000"/>
    </w:rPr>
  </w:style>
  <w:style w:type="paragraph" w:customStyle="1" w:styleId="27">
    <w:name w:val=" Char1"/>
    <w:basedOn w:val="9"/>
    <w:qFormat/>
    <w:uiPriority w:val="0"/>
    <w:pPr>
      <w:spacing w:line="360" w:lineRule="auto"/>
      <w:ind w:firstLine="200"/>
    </w:pPr>
    <w:rPr>
      <w:rFonts w:ascii="宋体" w:hAnsi="宋体"/>
      <w:sz w:val="24"/>
    </w:rPr>
  </w:style>
  <w:style w:type="paragraph" w:customStyle="1" w:styleId="28">
    <w:name w:val="目录 21"/>
    <w:qFormat/>
    <w:uiPriority w:val="0"/>
    <w:pPr>
      <w:ind w:left="420"/>
    </w:pPr>
    <w:rPr>
      <w:rFonts w:ascii="Times New Roman"/>
    </w:rPr>
  </w:style>
  <w:style w:type="paragraph" w:customStyle="1" w:styleId="29">
    <w:name w:val="正文文本缩进 21"/>
    <w:qFormat/>
    <w:uiPriority w:val="0"/>
    <w:pPr>
      <w:spacing w:line="600" w:lineRule="exact"/>
      <w:ind w:firstLine="600"/>
    </w:pPr>
    <w:rPr>
      <w:rFonts w:ascii="Times New Roman"/>
      <w:sz w:val="29"/>
    </w:rPr>
  </w:style>
  <w:style w:type="paragraph" w:customStyle="1" w:styleId="30">
    <w:name w:val="批注文字1"/>
    <w:basedOn w:val="9"/>
    <w:qFormat/>
    <w:uiPriority w:val="0"/>
    <w:pPr>
      <w:jc w:val="left"/>
    </w:pPr>
  </w:style>
  <w:style w:type="paragraph" w:customStyle="1" w:styleId="31">
    <w:name w:val="目录 11"/>
    <w:qFormat/>
    <w:uiPriority w:val="0"/>
    <w:rPr>
      <w:rFonts w:ascii="Times New Roman"/>
    </w:rPr>
  </w:style>
  <w:style w:type="paragraph" w:customStyle="1" w:styleId="32">
    <w:name w:val="目录 31"/>
    <w:qFormat/>
    <w:uiPriority w:val="0"/>
    <w:pPr>
      <w:ind w:left="840"/>
    </w:pPr>
    <w:rPr>
      <w:rFonts w:ascii="Times New Roman"/>
    </w:rPr>
  </w:style>
  <w:style w:type="paragraph" w:customStyle="1" w:styleId="33">
    <w:name w:val="批注主题1"/>
    <w:basedOn w:val="30"/>
    <w:qFormat/>
    <w:uiPriority w:val="0"/>
    <w:rPr>
      <w:b/>
    </w:rPr>
  </w:style>
  <w:style w:type="paragraph" w:customStyle="1" w:styleId="34">
    <w:name w:val="普通(网站)1"/>
    <w:basedOn w:val="9"/>
    <w:qFormat/>
    <w:uiPriority w:val="0"/>
    <w:pPr>
      <w:spacing w:before="0" w:after="0" w:line="326" w:lineRule="atLeast"/>
      <w:jc w:val="left"/>
    </w:pPr>
    <w:rPr>
      <w:rFonts w:ascii="宋体" w:hAnsi="宋体"/>
      <w:sz w:val="24"/>
    </w:rPr>
  </w:style>
  <w:style w:type="paragraph" w:customStyle="1" w:styleId="35">
    <w:name w:val="页脚1"/>
    <w:basedOn w:val="9"/>
    <w:qFormat/>
    <w:uiPriority w:val="0"/>
    <w:pPr>
      <w:jc w:val="left"/>
    </w:pPr>
    <w:rPr>
      <w:sz w:val="18"/>
      <w:szCs w:val="18"/>
    </w:rPr>
  </w:style>
  <w:style w:type="paragraph" w:customStyle="1" w:styleId="36">
    <w:name w:val="题注1"/>
    <w:basedOn w:val="9"/>
    <w:qFormat/>
    <w:uiPriority w:val="0"/>
    <w:pPr>
      <w:spacing w:before="152" w:after="160" w:line="360" w:lineRule="auto"/>
      <w:ind w:firstLine="538"/>
    </w:pPr>
    <w:rPr>
      <w:rFonts w:ascii="Arial" w:hAnsi="Arial"/>
      <w:sz w:val="20"/>
      <w:szCs w:val="20"/>
    </w:rPr>
  </w:style>
  <w:style w:type="paragraph" w:customStyle="1" w:styleId="37">
    <w:name w:val="批注框文本1"/>
    <w:basedOn w:val="9"/>
    <w:qFormat/>
    <w:uiPriority w:val="0"/>
    <w:rPr>
      <w:sz w:val="18"/>
      <w:szCs w:val="18"/>
    </w:rPr>
  </w:style>
  <w:style w:type="paragraph" w:customStyle="1" w:styleId="38">
    <w:name w:val="样式1"/>
    <w:qFormat/>
    <w:uiPriority w:val="0"/>
    <w:pPr>
      <w:spacing w:line="480" w:lineRule="atLeast"/>
      <w:ind w:firstLine="539"/>
    </w:pPr>
    <w:rPr>
      <w:rFonts w:ascii="Times New Roman"/>
      <w:sz w:val="24"/>
      <w:szCs w:val="20"/>
    </w:rPr>
  </w:style>
  <w:style w:type="paragraph" w:customStyle="1" w:styleId="39">
    <w:name w:val="规划正文"/>
    <w:basedOn w:val="9"/>
    <w:qFormat/>
    <w:uiPriority w:val="0"/>
    <w:pPr>
      <w:spacing w:line="580" w:lineRule="exact"/>
      <w:ind w:firstLine="560"/>
    </w:pPr>
    <w:rPr>
      <w:rFonts w:ascii="仿宋_GB2312" w:hAnsi="Courier New"/>
      <w:sz w:val="28"/>
      <w:szCs w:val="28"/>
    </w:rPr>
  </w:style>
  <w:style w:type="paragraph" w:customStyle="1" w:styleId="40">
    <w:name w:val="规划3"/>
    <w:qFormat/>
    <w:uiPriority w:val="0"/>
    <w:pPr>
      <w:spacing w:line="360" w:lineRule="auto"/>
    </w:pPr>
    <w:rPr>
      <w:rFonts w:ascii="楷体_GB2312"/>
      <w:b/>
      <w:sz w:val="28"/>
    </w:rPr>
  </w:style>
  <w:style w:type="paragraph" w:customStyle="1" w:styleId="41">
    <w:name w:val="正文文本1"/>
    <w:basedOn w:val="9"/>
    <w:qFormat/>
    <w:uiPriority w:val="0"/>
    <w:pPr>
      <w:spacing w:line="600" w:lineRule="exact"/>
      <w:jc w:val="center"/>
    </w:pPr>
    <w:rPr>
      <w:rFonts w:ascii="仿宋_GB2312"/>
      <w:sz w:val="29"/>
    </w:rPr>
  </w:style>
  <w:style w:type="paragraph" w:customStyle="1" w:styleId="42">
    <w:name w:val="纯文本1"/>
    <w:basedOn w:val="9"/>
    <w:qFormat/>
    <w:uiPriority w:val="0"/>
    <w:rPr>
      <w:rFonts w:ascii="宋体" w:hAnsi="Courier New"/>
      <w:sz w:val="21"/>
      <w:szCs w:val="21"/>
    </w:rPr>
  </w:style>
  <w:style w:type="paragraph" w:customStyle="1" w:styleId="43">
    <w:name w:val="页眉1"/>
    <w:basedOn w:val="9"/>
    <w:qFormat/>
    <w:uiPriority w:val="0"/>
    <w:pPr>
      <w:pBdr>
        <w:bottom w:val="single" w:color="000000" w:sz="6" w:space="1"/>
      </w:pBdr>
      <w:jc w:val="center"/>
    </w:pPr>
    <w:rPr>
      <w:sz w:val="18"/>
      <w:szCs w:val="18"/>
    </w:rPr>
  </w:style>
  <w:style w:type="paragraph" w:customStyle="1" w:styleId="44">
    <w:name w:val="文档结构图1"/>
    <w:basedOn w:val="9"/>
    <w:qFormat/>
    <w:uiPriority w:val="0"/>
    <w:pPr>
      <w:shd w:val="clear" w:fill="000080"/>
    </w:pPr>
  </w:style>
  <w:style w:type="paragraph" w:customStyle="1" w:styleId="45">
    <w:name w:val="正文文本缩进1"/>
    <w:basedOn w:val="9"/>
    <w:qFormat/>
    <w:uiPriority w:val="0"/>
    <w:pPr>
      <w:spacing w:line="700" w:lineRule="exact"/>
      <w:ind w:firstLine="600"/>
    </w:pPr>
    <w:rPr>
      <w:sz w:val="3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52</Pages>
  <Words>3816</Words>
  <Characters>4100</Characters>
  <Lines>0</Lines>
  <Paragraphs>0</Paragraphs>
  <TotalTime>0</TotalTime>
  <ScaleCrop>false</ScaleCrop>
  <LinksUpToDate>false</LinksUpToDate>
  <CharactersWithSpaces>4428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2007-04-30T19:01:00Z</dcterms:created>
  <dc:creator>彩虹</dc:creator>
  <cp:lastModifiedBy>彩虹</cp:lastModifiedBy>
  <dcterms:modified xsi:type="dcterms:W3CDTF">2026-07-22T08:54:10Z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eyJoZGlkIjoiOWU3MDBhYWMzODM2Y2Y3NTIwNjUxZDkwMTJmNTM5YTAiLCJ1c2VySWQiOiIxMDQ0MjkxMTYxIn0=</vt:lpwstr>
  </property>
  <property fmtid="{D5CDD505-2E9C-101B-9397-08002B2CF9AE}" pid="3" name="KSOProductBuildVer">
    <vt:lpwstr>2052-12.1.0.26895</vt:lpwstr>
  </property>
  <property fmtid="{D5CDD505-2E9C-101B-9397-08002B2CF9AE}" pid="4" name="ICV">
    <vt:lpwstr>7A1DCD2D618F4A61BFA04901498888F7_12</vt:lpwstr>
  </property>
</Properties>
</file>